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eastAsiaTheme="majorEastAsia" w:cstheme="majorBidi"/>
          <w:b/>
          <w:bCs/>
          <w:color w:val="365F91" w:themeColor="accent1" w:themeShade="BF"/>
          <w:sz w:val="48"/>
          <w:szCs w:val="48"/>
          <w:lang w:val="es-CO"/>
        </w:rPr>
        <w:id w:val="4510847"/>
        <w:docPartObj>
          <w:docPartGallery w:val="Cover Pages"/>
          <w:docPartUnique/>
        </w:docPartObj>
      </w:sdtPr>
      <w:sdtEndPr>
        <w:rPr>
          <w:rFonts w:eastAsiaTheme="minorHAnsi" w:cstheme="minorBidi"/>
          <w:bCs w:val="0"/>
          <w:color w:val="auto"/>
          <w:sz w:val="22"/>
          <w:szCs w:val="22"/>
        </w:rPr>
      </w:sdtEndPr>
      <w:sdtContent>
        <w:tbl>
          <w:tblPr>
            <w:tblpPr w:leftFromText="187" w:rightFromText="187" w:horzAnchor="margin" w:tblpYSpec="bottom"/>
            <w:tblW w:w="3000" w:type="pct"/>
            <w:tblLook w:val="04A0"/>
          </w:tblPr>
          <w:tblGrid>
            <w:gridCol w:w="5432"/>
          </w:tblGrid>
          <w:tr w:rsidR="002D1062" w:rsidRPr="008A47CF" w:rsidTr="00220EBB">
            <w:sdt>
              <w:sdtPr>
                <w:rPr>
                  <w:rFonts w:eastAsiaTheme="majorEastAsia" w:cstheme="majorBidi"/>
                  <w:b/>
                  <w:bCs/>
                  <w:color w:val="365F91" w:themeColor="accent1" w:themeShade="BF"/>
                  <w:sz w:val="48"/>
                  <w:szCs w:val="48"/>
                  <w:lang w:val="es-CO"/>
                </w:rPr>
                <w:alias w:val="Título"/>
                <w:id w:val="703864190"/>
                <w:dataBinding w:prefixMappings="xmlns:ns0='http://schemas.openxmlformats.org/package/2006/metadata/core-properties' xmlns:ns1='http://purl.org/dc/elements/1.1/'" w:xpath="/ns0:coreProperties[1]/ns1:title[1]" w:storeItemID="{6C3C8BC8-F283-45AE-878A-BAB7291924A1}"/>
                <w:text/>
              </w:sdtPr>
              <w:sdtEndPr>
                <w:rPr>
                  <w:lang w:val="es-ES"/>
                </w:rPr>
              </w:sdtEndPr>
              <w:sdtContent>
                <w:tc>
                  <w:tcPr>
                    <w:tcW w:w="5432" w:type="dxa"/>
                  </w:tcPr>
                  <w:p w:rsidR="002D1062" w:rsidRPr="008A47CF" w:rsidRDefault="002D1062" w:rsidP="005B7F8A">
                    <w:pPr>
                      <w:pStyle w:val="Sinespaciado"/>
                      <w:rPr>
                        <w:rFonts w:eastAsiaTheme="majorEastAsia" w:cstheme="majorBidi"/>
                        <w:b/>
                        <w:bCs/>
                        <w:color w:val="365F91" w:themeColor="accent1" w:themeShade="BF"/>
                        <w:sz w:val="48"/>
                        <w:szCs w:val="48"/>
                      </w:rPr>
                    </w:pPr>
                    <w:r w:rsidRPr="008A47CF">
                      <w:rPr>
                        <w:rFonts w:eastAsiaTheme="majorEastAsia" w:cstheme="majorBidi"/>
                        <w:b/>
                        <w:bCs/>
                        <w:color w:val="365F91" w:themeColor="accent1" w:themeShade="BF"/>
                        <w:sz w:val="48"/>
                        <w:szCs w:val="48"/>
                      </w:rPr>
                      <w:t xml:space="preserve">INFORME </w:t>
                    </w:r>
                    <w:r w:rsidR="005B7F8A">
                      <w:rPr>
                        <w:rFonts w:eastAsiaTheme="majorEastAsia" w:cstheme="majorBidi"/>
                        <w:b/>
                        <w:bCs/>
                        <w:color w:val="365F91" w:themeColor="accent1" w:themeShade="BF"/>
                        <w:sz w:val="48"/>
                        <w:szCs w:val="48"/>
                      </w:rPr>
                      <w:t xml:space="preserve">EJECUTIVO ANUAL DE </w:t>
                    </w:r>
                    <w:r w:rsidRPr="008A47CF">
                      <w:rPr>
                        <w:rFonts w:eastAsiaTheme="majorEastAsia" w:cstheme="majorBidi"/>
                        <w:b/>
                        <w:bCs/>
                        <w:color w:val="365F91" w:themeColor="accent1" w:themeShade="BF"/>
                        <w:sz w:val="48"/>
                        <w:szCs w:val="48"/>
                      </w:rPr>
                      <w:t>CONTROL INTERNO</w:t>
                    </w:r>
                  </w:p>
                </w:tc>
              </w:sdtContent>
            </w:sdt>
          </w:tr>
          <w:tr w:rsidR="002D1062" w:rsidRPr="008A47CF" w:rsidTr="00220EBB">
            <w:sdt>
              <w:sdtPr>
                <w:rPr>
                  <w:color w:val="484329" w:themeColor="background2" w:themeShade="3F"/>
                  <w:sz w:val="28"/>
                  <w:szCs w:val="28"/>
                </w:rPr>
                <w:alias w:val="Subtítulo"/>
                <w:id w:val="703864195"/>
                <w:dataBinding w:prefixMappings="xmlns:ns0='http://schemas.openxmlformats.org/package/2006/metadata/core-properties' xmlns:ns1='http://purl.org/dc/elements/1.1/'" w:xpath="/ns0:coreProperties[1]/ns1:subject[1]" w:storeItemID="{6C3C8BC8-F283-45AE-878A-BAB7291924A1}"/>
                <w:text/>
              </w:sdtPr>
              <w:sdtContent>
                <w:tc>
                  <w:tcPr>
                    <w:tcW w:w="5432" w:type="dxa"/>
                  </w:tcPr>
                  <w:p w:rsidR="002D1062" w:rsidRPr="008A47CF" w:rsidRDefault="00220EBB" w:rsidP="005B7F8A">
                    <w:pPr>
                      <w:pStyle w:val="Sinespaciado"/>
                      <w:rPr>
                        <w:color w:val="484329" w:themeColor="background2" w:themeShade="3F"/>
                        <w:sz w:val="28"/>
                        <w:szCs w:val="28"/>
                      </w:rPr>
                    </w:pPr>
                    <w:r w:rsidRPr="008A47CF">
                      <w:rPr>
                        <w:color w:val="484329" w:themeColor="background2" w:themeShade="3F"/>
                        <w:sz w:val="28"/>
                        <w:szCs w:val="28"/>
                      </w:rPr>
                      <w:t>Período</w:t>
                    </w:r>
                    <w:r w:rsidR="002D1062" w:rsidRPr="008A47CF">
                      <w:rPr>
                        <w:color w:val="484329" w:themeColor="background2" w:themeShade="3F"/>
                        <w:sz w:val="28"/>
                        <w:szCs w:val="28"/>
                      </w:rPr>
                      <w:t xml:space="preserve">: 01 </w:t>
                    </w:r>
                    <w:r w:rsidR="005B7F8A">
                      <w:rPr>
                        <w:color w:val="484329" w:themeColor="background2" w:themeShade="3F"/>
                        <w:sz w:val="28"/>
                        <w:szCs w:val="28"/>
                      </w:rPr>
                      <w:t>enero de 2015 al 31</w:t>
                    </w:r>
                    <w:r w:rsidR="002D1062" w:rsidRPr="008A47CF">
                      <w:rPr>
                        <w:color w:val="484329" w:themeColor="background2" w:themeShade="3F"/>
                        <w:sz w:val="28"/>
                        <w:szCs w:val="28"/>
                      </w:rPr>
                      <w:t xml:space="preserve"> de </w:t>
                    </w:r>
                    <w:r w:rsidR="005B7F8A">
                      <w:rPr>
                        <w:color w:val="484329" w:themeColor="background2" w:themeShade="3F"/>
                        <w:sz w:val="28"/>
                        <w:szCs w:val="28"/>
                      </w:rPr>
                      <w:t>diciembre de 2015</w:t>
                    </w:r>
                  </w:p>
                </w:tc>
              </w:sdtContent>
            </w:sdt>
          </w:tr>
          <w:tr w:rsidR="002D1062" w:rsidRPr="008A47CF" w:rsidTr="00220EBB">
            <w:tc>
              <w:tcPr>
                <w:tcW w:w="5432" w:type="dxa"/>
              </w:tcPr>
              <w:p w:rsidR="002D1062" w:rsidRPr="008A47CF" w:rsidRDefault="002D1062">
                <w:pPr>
                  <w:pStyle w:val="Sinespaciado"/>
                  <w:rPr>
                    <w:color w:val="484329" w:themeColor="background2" w:themeShade="3F"/>
                    <w:sz w:val="28"/>
                    <w:szCs w:val="28"/>
                  </w:rPr>
                </w:pPr>
              </w:p>
            </w:tc>
          </w:tr>
          <w:tr w:rsidR="002D1062" w:rsidRPr="008A47CF" w:rsidTr="00220EBB">
            <w:sdt>
              <w:sdtPr>
                <w:alias w:val="Abstracto"/>
                <w:id w:val="703864200"/>
                <w:dataBinding w:prefixMappings="xmlns:ns0='http://schemas.microsoft.com/office/2006/coverPageProps'" w:xpath="/ns0:CoverPageProperties[1]/ns0:Abstract[1]" w:storeItemID="{55AF091B-3C7A-41E3-B477-F2FDAA23CFDA}"/>
                <w:text/>
              </w:sdtPr>
              <w:sdtContent>
                <w:tc>
                  <w:tcPr>
                    <w:tcW w:w="5432" w:type="dxa"/>
                  </w:tcPr>
                  <w:p w:rsidR="002D1062" w:rsidRPr="008A47CF" w:rsidRDefault="00220EBB" w:rsidP="005B7F8A">
                    <w:pPr>
                      <w:pStyle w:val="Sinespaciado"/>
                    </w:pPr>
                    <w:r w:rsidRPr="008A47CF">
                      <w:t xml:space="preserve">Marco normativo: </w:t>
                    </w:r>
                    <w:r w:rsidR="005B7F8A">
                      <w:t xml:space="preserve">Decreto 2145 de 1999 </w:t>
                    </w:r>
                  </w:p>
                </w:tc>
              </w:sdtContent>
            </w:sdt>
          </w:tr>
          <w:tr w:rsidR="002D1062" w:rsidRPr="008A47CF" w:rsidTr="00220EBB">
            <w:tc>
              <w:tcPr>
                <w:tcW w:w="5432" w:type="dxa"/>
              </w:tcPr>
              <w:p w:rsidR="002D1062" w:rsidRPr="008A47CF" w:rsidRDefault="002D1062">
                <w:pPr>
                  <w:pStyle w:val="Sinespaciado"/>
                </w:pPr>
              </w:p>
            </w:tc>
          </w:tr>
          <w:tr w:rsidR="002D1062" w:rsidRPr="008A47CF" w:rsidTr="00220EBB">
            <w:sdt>
              <w:sdtPr>
                <w:rPr>
                  <w:bCs/>
                </w:rPr>
                <w:alias w:val="Autor"/>
                <w:id w:val="703864205"/>
                <w:dataBinding w:prefixMappings="xmlns:ns0='http://schemas.openxmlformats.org/package/2006/metadata/core-properties' xmlns:ns1='http://purl.org/dc/elements/1.1/'" w:xpath="/ns0:coreProperties[1]/ns1:creator[1]" w:storeItemID="{6C3C8BC8-F283-45AE-878A-BAB7291924A1}"/>
                <w:text/>
              </w:sdtPr>
              <w:sdtContent>
                <w:tc>
                  <w:tcPr>
                    <w:tcW w:w="5432" w:type="dxa"/>
                  </w:tcPr>
                  <w:p w:rsidR="002D1062" w:rsidRPr="008A47CF" w:rsidRDefault="002D1062" w:rsidP="00D56BC6">
                    <w:pPr>
                      <w:pStyle w:val="Sinespaciado"/>
                      <w:rPr>
                        <w:bCs/>
                      </w:rPr>
                    </w:pPr>
                    <w:r w:rsidRPr="008A47CF">
                      <w:rPr>
                        <w:bCs/>
                      </w:rPr>
                      <w:t xml:space="preserve">Elaborado por: José Daniel Quilaguy Bernal - Profesional </w:t>
                    </w:r>
                    <w:r w:rsidR="00D56BC6" w:rsidRPr="008A47CF">
                      <w:rPr>
                        <w:bCs/>
                      </w:rPr>
                      <w:t>E</w:t>
                    </w:r>
                    <w:r w:rsidRPr="008A47CF">
                      <w:rPr>
                        <w:bCs/>
                      </w:rPr>
                      <w:t>specializado con funciones de control interno</w:t>
                    </w:r>
                  </w:p>
                </w:tc>
              </w:sdtContent>
            </w:sdt>
          </w:tr>
          <w:tr w:rsidR="002D1062" w:rsidRPr="008A47CF" w:rsidTr="00220EBB">
            <w:sdt>
              <w:sdtPr>
                <w:rPr>
                  <w:b/>
                  <w:bCs/>
                </w:rPr>
                <w:alias w:val="Fecha"/>
                <w:id w:val="703864210"/>
                <w:dataBinding w:prefixMappings="xmlns:ns0='http://schemas.microsoft.com/office/2006/coverPageProps'" w:xpath="/ns0:CoverPageProperties[1]/ns0:PublishDate[1]" w:storeItemID="{55AF091B-3C7A-41E3-B477-F2FDAA23CFDA}"/>
                <w:date w:fullDate="2016-04-15T00:00:00Z">
                  <w:dateFormat w:val="dd/MM/yyyy"/>
                  <w:lid w:val="es-ES"/>
                  <w:storeMappedDataAs w:val="dateTime"/>
                  <w:calendar w:val="gregorian"/>
                </w:date>
              </w:sdtPr>
              <w:sdtContent>
                <w:tc>
                  <w:tcPr>
                    <w:tcW w:w="5432" w:type="dxa"/>
                  </w:tcPr>
                  <w:p w:rsidR="002D1062" w:rsidRPr="008A47CF" w:rsidRDefault="003E24A0" w:rsidP="003E24A0">
                    <w:pPr>
                      <w:pStyle w:val="Sinespaciado"/>
                      <w:rPr>
                        <w:b/>
                        <w:bCs/>
                      </w:rPr>
                    </w:pPr>
                    <w:r>
                      <w:rPr>
                        <w:b/>
                        <w:bCs/>
                      </w:rPr>
                      <w:t>15</w:t>
                    </w:r>
                    <w:r w:rsidR="002D1062" w:rsidRPr="008A47CF">
                      <w:rPr>
                        <w:b/>
                        <w:bCs/>
                      </w:rPr>
                      <w:t>/0</w:t>
                    </w:r>
                    <w:r>
                      <w:rPr>
                        <w:b/>
                        <w:bCs/>
                      </w:rPr>
                      <w:t>4</w:t>
                    </w:r>
                    <w:r w:rsidR="002D1062" w:rsidRPr="008A47CF">
                      <w:rPr>
                        <w:b/>
                        <w:bCs/>
                      </w:rPr>
                      <w:t>/2016</w:t>
                    </w:r>
                  </w:p>
                </w:tc>
              </w:sdtContent>
            </w:sdt>
          </w:tr>
          <w:tr w:rsidR="002D1062" w:rsidRPr="008A47CF" w:rsidTr="00220EBB">
            <w:tc>
              <w:tcPr>
                <w:tcW w:w="5432" w:type="dxa"/>
              </w:tcPr>
              <w:p w:rsidR="002D1062" w:rsidRPr="008A47CF" w:rsidRDefault="002D1062">
                <w:pPr>
                  <w:pStyle w:val="Sinespaciado"/>
                  <w:rPr>
                    <w:b/>
                    <w:bCs/>
                  </w:rPr>
                </w:pPr>
              </w:p>
            </w:tc>
          </w:tr>
        </w:tbl>
        <w:p w:rsidR="002D1062" w:rsidRPr="008A47CF" w:rsidRDefault="00220EBB" w:rsidP="00856BCC">
          <w:pPr>
            <w:jc w:val="center"/>
            <w:rPr>
              <w:lang w:val="es-ES"/>
            </w:rPr>
          </w:pPr>
          <w:r w:rsidRPr="008A47CF">
            <w:rPr>
              <w:noProof/>
              <w:lang w:eastAsia="es-CO"/>
            </w:rPr>
            <w:drawing>
              <wp:anchor distT="0" distB="0" distL="114300" distR="114300" simplePos="0" relativeHeight="251658240" behindDoc="0" locked="0" layoutInCell="1" allowOverlap="1">
                <wp:simplePos x="0" y="0"/>
                <wp:positionH relativeFrom="column">
                  <wp:posOffset>2535555</wp:posOffset>
                </wp:positionH>
                <wp:positionV relativeFrom="paragraph">
                  <wp:posOffset>243205</wp:posOffset>
                </wp:positionV>
                <wp:extent cx="491490" cy="480060"/>
                <wp:effectExtent l="19050" t="0" r="3810" b="0"/>
                <wp:wrapNone/>
                <wp:docPr id="1" name="Imagen 4" descr="LOGO ICC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ICC 2012"/>
                        <pic:cNvPicPr>
                          <a:picLocks noChangeAspect="1" noChangeArrowheads="1"/>
                        </pic:cNvPicPr>
                      </pic:nvPicPr>
                      <pic:blipFill>
                        <a:blip r:embed="rId7" cstate="print"/>
                        <a:srcRect/>
                        <a:stretch>
                          <a:fillRect/>
                        </a:stretch>
                      </pic:blipFill>
                      <pic:spPr bwMode="auto">
                        <a:xfrm>
                          <a:off x="0" y="0"/>
                          <a:ext cx="491490" cy="480060"/>
                        </a:xfrm>
                        <a:prstGeom prst="rect">
                          <a:avLst/>
                        </a:prstGeom>
                        <a:noFill/>
                        <a:ln w="9525">
                          <a:noFill/>
                          <a:miter lim="800000"/>
                          <a:headEnd/>
                          <a:tailEnd/>
                        </a:ln>
                      </pic:spPr>
                    </pic:pic>
                  </a:graphicData>
                </a:graphic>
              </wp:anchor>
            </w:drawing>
          </w:r>
          <w:r w:rsidRPr="008A47CF">
            <w:rPr>
              <w:noProof/>
              <w:lang w:eastAsia="es-CO"/>
            </w:rPr>
            <w:drawing>
              <wp:inline distT="0" distB="0" distL="0" distR="0">
                <wp:extent cx="5067300" cy="992019"/>
                <wp:effectExtent l="19050" t="0" r="0" b="0"/>
                <wp:docPr id="2" name="Imagen 1" descr="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rma"/>
                        <pic:cNvPicPr>
                          <a:picLocks noChangeAspect="1" noChangeArrowheads="1"/>
                        </pic:cNvPicPr>
                      </pic:nvPicPr>
                      <pic:blipFill>
                        <a:blip r:embed="rId8" r:link="rId9" cstate="print"/>
                        <a:srcRect/>
                        <a:stretch>
                          <a:fillRect/>
                        </a:stretch>
                      </pic:blipFill>
                      <pic:spPr bwMode="auto">
                        <a:xfrm>
                          <a:off x="0" y="0"/>
                          <a:ext cx="5065773" cy="991720"/>
                        </a:xfrm>
                        <a:prstGeom prst="rect">
                          <a:avLst/>
                        </a:prstGeom>
                        <a:noFill/>
                        <a:ln w="9525">
                          <a:noFill/>
                          <a:miter lim="800000"/>
                          <a:headEnd/>
                          <a:tailEnd/>
                        </a:ln>
                      </pic:spPr>
                    </pic:pic>
                  </a:graphicData>
                </a:graphic>
              </wp:inline>
            </w:drawing>
          </w:r>
        </w:p>
        <w:p w:rsidR="00220EBB" w:rsidRPr="008A47CF" w:rsidRDefault="00220EBB">
          <w:pPr>
            <w:rPr>
              <w:lang w:val="es-ES"/>
            </w:rPr>
          </w:pPr>
        </w:p>
        <w:p w:rsidR="00220EBB" w:rsidRPr="008A47CF" w:rsidRDefault="00220EBB">
          <w:r w:rsidRPr="008A47CF">
            <w:t xml:space="preserve">                 </w:t>
          </w:r>
        </w:p>
        <w:p w:rsidR="00220EBB" w:rsidRPr="008A47CF" w:rsidRDefault="00220EBB"/>
        <w:p w:rsidR="00220EBB" w:rsidRPr="008A47CF" w:rsidRDefault="00220EBB"/>
        <w:p w:rsidR="00220EBB" w:rsidRPr="008A47CF" w:rsidRDefault="00220EBB"/>
        <w:p w:rsidR="002D1062" w:rsidRPr="008A47CF" w:rsidRDefault="00220EBB" w:rsidP="00220EBB">
          <w:pPr>
            <w:jc w:val="center"/>
            <w:rPr>
              <w:b/>
            </w:rPr>
          </w:pPr>
          <w:r w:rsidRPr="008A47CF">
            <w:rPr>
              <w:b/>
              <w:sz w:val="48"/>
            </w:rPr>
            <w:t>INSTITUTO CARO Y CUERVO</w:t>
          </w:r>
        </w:p>
      </w:sdtContent>
    </w:sdt>
    <w:p w:rsidR="002F5D60" w:rsidRPr="008A47CF" w:rsidRDefault="002F5D60"/>
    <w:p w:rsidR="00220EBB" w:rsidRPr="008A47CF" w:rsidRDefault="00220EBB"/>
    <w:p w:rsidR="00220EBB" w:rsidRPr="008A47CF" w:rsidRDefault="00220EBB"/>
    <w:p w:rsidR="00220EBB" w:rsidRPr="008A47CF" w:rsidRDefault="00220EBB"/>
    <w:p w:rsidR="00220EBB" w:rsidRPr="008A47CF" w:rsidRDefault="00220EBB"/>
    <w:p w:rsidR="00220EBB" w:rsidRPr="008A47CF" w:rsidRDefault="00220EBB"/>
    <w:p w:rsidR="00220EBB" w:rsidRPr="008A47CF" w:rsidRDefault="00220EBB"/>
    <w:p w:rsidR="00220EBB" w:rsidRPr="008A47CF" w:rsidRDefault="00220EBB"/>
    <w:p w:rsidR="00220EBB" w:rsidRPr="008A47CF" w:rsidRDefault="00220EBB"/>
    <w:p w:rsidR="00220EBB" w:rsidRPr="008A47CF" w:rsidRDefault="00220EBB"/>
    <w:p w:rsidR="00220EBB" w:rsidRPr="008A47CF" w:rsidRDefault="00220EBB"/>
    <w:p w:rsidR="00220EBB" w:rsidRPr="008A47CF" w:rsidRDefault="00220EBB"/>
    <w:p w:rsidR="00220EBB" w:rsidRPr="008A47CF" w:rsidRDefault="00220EBB"/>
    <w:p w:rsidR="00220EBB" w:rsidRPr="008A47CF" w:rsidRDefault="00220EBB"/>
    <w:p w:rsidR="008A47CF" w:rsidRPr="008A47CF" w:rsidRDefault="008A47CF" w:rsidP="008A47CF">
      <w:pPr>
        <w:pStyle w:val="Prrafodelista"/>
        <w:ind w:left="567"/>
        <w:rPr>
          <w:b/>
          <w:color w:val="215868" w:themeColor="accent5" w:themeShade="80"/>
        </w:rPr>
      </w:pPr>
    </w:p>
    <w:p w:rsidR="008A47CF" w:rsidRPr="008A47CF" w:rsidRDefault="008A47CF" w:rsidP="008A47CF">
      <w:pPr>
        <w:pStyle w:val="Prrafodelista"/>
        <w:ind w:left="567"/>
        <w:rPr>
          <w:b/>
          <w:color w:val="215868" w:themeColor="accent5" w:themeShade="80"/>
        </w:rPr>
      </w:pPr>
    </w:p>
    <w:p w:rsidR="008D5FCA" w:rsidRPr="008A47CF" w:rsidRDefault="006D6F3D" w:rsidP="0073679C">
      <w:pPr>
        <w:pStyle w:val="Prrafodelista"/>
        <w:numPr>
          <w:ilvl w:val="0"/>
          <w:numId w:val="3"/>
        </w:numPr>
        <w:ind w:left="567" w:hanging="567"/>
        <w:rPr>
          <w:b/>
          <w:color w:val="215868" w:themeColor="accent5" w:themeShade="80"/>
        </w:rPr>
      </w:pPr>
      <w:r w:rsidRPr="008A47CF">
        <w:rPr>
          <w:b/>
          <w:color w:val="215868" w:themeColor="accent5" w:themeShade="80"/>
        </w:rPr>
        <w:lastRenderedPageBreak/>
        <w:t>INFORMACIÓN PRELIMINAR</w:t>
      </w:r>
    </w:p>
    <w:p w:rsidR="00F94698" w:rsidRDefault="009E1B85" w:rsidP="0073679C">
      <w:pPr>
        <w:jc w:val="both"/>
      </w:pPr>
      <w:r>
        <w:t>De acuerdo con la Circular Externa 003 de 2016 expedida por el Departamento Administrativo de la Función Pública (DAFP), el informe ejecutivo anual de qué trata el Decreto 2145 de 1999, fue presentado mediante el diligenciamiento de la encuesta MECI en el aplicativo dispuesto para tal fin.</w:t>
      </w:r>
    </w:p>
    <w:p w:rsidR="001340C0" w:rsidRDefault="001340C0" w:rsidP="0073679C">
      <w:pPr>
        <w:jc w:val="both"/>
      </w:pPr>
      <w:r>
        <w:t xml:space="preserve">Asimismo, en cumplimiento de los dispuesto </w:t>
      </w:r>
      <w:r w:rsidR="00205403">
        <w:t xml:space="preserve">en la </w:t>
      </w:r>
      <w:r>
        <w:t>Resolución externa 357 de 2008, expedida por la Contaduría General de la Nación, se evaluó el Sistema de Control Interno Contable del Instituto</w:t>
      </w:r>
      <w:r w:rsidR="0003639D">
        <w:t xml:space="preserve">, a través del </w:t>
      </w:r>
      <w:proofErr w:type="spellStart"/>
      <w:r w:rsidR="0003639D">
        <w:t>Consolidador</w:t>
      </w:r>
      <w:proofErr w:type="spellEnd"/>
      <w:r w:rsidR="0003639D">
        <w:t xml:space="preserve"> de Hacienda e Información Pública (CHIP).</w:t>
      </w:r>
    </w:p>
    <w:p w:rsidR="001340C0" w:rsidRDefault="001340C0" w:rsidP="001340C0">
      <w:pPr>
        <w:jc w:val="both"/>
      </w:pPr>
      <w:r>
        <w:t xml:space="preserve">La </w:t>
      </w:r>
      <w:r w:rsidR="00897578">
        <w:t>función pública, divulgó</w:t>
      </w:r>
      <w:r>
        <w:t xml:space="preserve"> los resultados de la referida encuesta el pasado 30 de marzo de 2016, con base en estos </w:t>
      </w:r>
      <w:r w:rsidR="0003639D">
        <w:t xml:space="preserve">y los reportados en CHIP, </w:t>
      </w:r>
      <w:r w:rsidR="00897578">
        <w:t xml:space="preserve">a continuación se </w:t>
      </w:r>
      <w:r w:rsidR="003D4041">
        <w:t>muestran los resultados de la evaluación a los sistemas de</w:t>
      </w:r>
      <w:r w:rsidR="0003639D">
        <w:t xml:space="preserve"> Control Interno y </w:t>
      </w:r>
      <w:r w:rsidR="003D4041">
        <w:t xml:space="preserve">de </w:t>
      </w:r>
      <w:r w:rsidR="0003639D">
        <w:t xml:space="preserve">Control Interno Contable </w:t>
      </w:r>
      <w:r w:rsidR="00205403">
        <w:t>d</w:t>
      </w:r>
      <w:r w:rsidR="0003639D">
        <w:t>el Instituto C</w:t>
      </w:r>
      <w:r w:rsidR="00205403">
        <w:t>aro y Cuervo</w:t>
      </w:r>
      <w:r w:rsidR="0003639D">
        <w:t>, respectivamente.</w:t>
      </w:r>
    </w:p>
    <w:p w:rsidR="00F94698" w:rsidRPr="008A47CF" w:rsidRDefault="0003639D" w:rsidP="0073679C">
      <w:pPr>
        <w:pStyle w:val="Prrafodelista"/>
        <w:numPr>
          <w:ilvl w:val="0"/>
          <w:numId w:val="1"/>
        </w:numPr>
        <w:pBdr>
          <w:top w:val="single" w:sz="4" w:space="1" w:color="auto"/>
          <w:left w:val="single" w:sz="4" w:space="4" w:color="auto"/>
          <w:bottom w:val="single" w:sz="4" w:space="0" w:color="auto"/>
          <w:right w:val="single" w:sz="4" w:space="4" w:color="auto"/>
        </w:pBdr>
        <w:shd w:val="clear" w:color="auto" w:fill="92CDDC" w:themeFill="accent5" w:themeFillTint="99"/>
        <w:jc w:val="center"/>
        <w:rPr>
          <w:b/>
        </w:rPr>
      </w:pPr>
      <w:r>
        <w:rPr>
          <w:b/>
        </w:rPr>
        <w:t>SISTEMA DE CONTROL INTERNO</w:t>
      </w:r>
    </w:p>
    <w:p w:rsidR="0073679C" w:rsidRPr="008A47CF" w:rsidRDefault="0073679C" w:rsidP="0073679C">
      <w:pPr>
        <w:pStyle w:val="Prrafodelista"/>
        <w:ind w:left="567"/>
        <w:rPr>
          <w:b/>
          <w:color w:val="215868" w:themeColor="accent5" w:themeShade="80"/>
        </w:rPr>
      </w:pPr>
    </w:p>
    <w:p w:rsidR="00280BCB" w:rsidRPr="008A47CF" w:rsidRDefault="0003639D" w:rsidP="0073679C">
      <w:pPr>
        <w:pStyle w:val="Prrafodelista"/>
        <w:numPr>
          <w:ilvl w:val="0"/>
          <w:numId w:val="2"/>
        </w:numPr>
        <w:ind w:left="567" w:hanging="567"/>
        <w:rPr>
          <w:b/>
          <w:color w:val="215868" w:themeColor="accent5" w:themeShade="80"/>
        </w:rPr>
      </w:pPr>
      <w:r>
        <w:rPr>
          <w:b/>
          <w:color w:val="215868" w:themeColor="accent5" w:themeShade="80"/>
        </w:rPr>
        <w:t xml:space="preserve">COMPARATIVO GENERAL </w:t>
      </w:r>
      <w:r w:rsidR="002E1772">
        <w:rPr>
          <w:b/>
          <w:color w:val="215868" w:themeColor="accent5" w:themeShade="80"/>
        </w:rPr>
        <w:t>DE</w:t>
      </w:r>
      <w:r>
        <w:rPr>
          <w:b/>
          <w:color w:val="215868" w:themeColor="accent5" w:themeShade="80"/>
        </w:rPr>
        <w:t xml:space="preserve"> LOS TRES ÚLTIMOS AÑOS</w:t>
      </w:r>
    </w:p>
    <w:p w:rsidR="00043D20" w:rsidRDefault="00043D20" w:rsidP="00043D20">
      <w:pPr>
        <w:pStyle w:val="Prrafodelista"/>
        <w:ind w:left="851"/>
        <w:jc w:val="both"/>
      </w:pPr>
    </w:p>
    <w:p w:rsidR="0003639D" w:rsidRDefault="0003639D" w:rsidP="00DB5449">
      <w:pPr>
        <w:pStyle w:val="Prrafodelista"/>
        <w:ind w:left="851"/>
        <w:jc w:val="center"/>
      </w:pPr>
      <w:r w:rsidRPr="0003639D">
        <w:rPr>
          <w:noProof/>
          <w:lang w:eastAsia="es-CO"/>
        </w:rPr>
        <w:drawing>
          <wp:inline distT="0" distB="0" distL="0" distR="0">
            <wp:extent cx="4232910" cy="2514600"/>
            <wp:effectExtent l="19050" t="0" r="15240" b="0"/>
            <wp:docPr id="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B5449" w:rsidRDefault="00DB5449" w:rsidP="00043D20">
      <w:pPr>
        <w:pStyle w:val="Prrafodelista"/>
        <w:ind w:left="851"/>
        <w:jc w:val="both"/>
      </w:pPr>
    </w:p>
    <w:p w:rsidR="00DB5449" w:rsidRDefault="00DB5449" w:rsidP="00043D20">
      <w:pPr>
        <w:pStyle w:val="Prrafodelista"/>
        <w:ind w:left="851"/>
        <w:jc w:val="both"/>
      </w:pPr>
      <w:r>
        <w:t xml:space="preserve">El instituto Caro y Cuervo </w:t>
      </w:r>
      <w:r w:rsidR="002E1772">
        <w:t xml:space="preserve">obtuvo una calificación general que lo posiciona en </w:t>
      </w:r>
      <w:r>
        <w:t xml:space="preserve">un nivel </w:t>
      </w:r>
      <w:r w:rsidRPr="00DB5449">
        <w:rPr>
          <w:b/>
        </w:rPr>
        <w:t>INTERMEDIO</w:t>
      </w:r>
      <w:r>
        <w:t xml:space="preserve"> en </w:t>
      </w:r>
      <w:r w:rsidR="006E5265">
        <w:t>el</w:t>
      </w:r>
      <w:r>
        <w:t xml:space="preserve"> nivel de madurez del Sistema de Control Interno, de acuerdo con la  publicación del DAFP para la interpretación de factores y niveles de madurez</w:t>
      </w:r>
      <w:r w:rsidR="006E5265">
        <w:t>.</w:t>
      </w:r>
    </w:p>
    <w:p w:rsidR="00DB5449" w:rsidRPr="008A47CF" w:rsidRDefault="00DB5449" w:rsidP="00DB5449">
      <w:pPr>
        <w:pStyle w:val="Prrafodelista"/>
        <w:ind w:left="0"/>
        <w:jc w:val="both"/>
      </w:pPr>
      <w:r>
        <w:rPr>
          <w:noProof/>
          <w:lang w:eastAsia="es-CO"/>
        </w:rPr>
        <w:drawing>
          <wp:inline distT="0" distB="0" distL="0" distR="0">
            <wp:extent cx="5727875" cy="861060"/>
            <wp:effectExtent l="19050" t="0" r="6175"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0523" t="47826" r="9022" b="35024"/>
                    <a:stretch>
                      <a:fillRect/>
                    </a:stretch>
                  </pic:blipFill>
                  <pic:spPr bwMode="auto">
                    <a:xfrm>
                      <a:off x="0" y="0"/>
                      <a:ext cx="5732711" cy="861787"/>
                    </a:xfrm>
                    <a:prstGeom prst="rect">
                      <a:avLst/>
                    </a:prstGeom>
                    <a:noFill/>
                    <a:ln w="9525">
                      <a:noFill/>
                      <a:miter lim="800000"/>
                      <a:headEnd/>
                      <a:tailEnd/>
                    </a:ln>
                  </pic:spPr>
                </pic:pic>
              </a:graphicData>
            </a:graphic>
          </wp:inline>
        </w:drawing>
      </w:r>
    </w:p>
    <w:p w:rsidR="00542CE3" w:rsidRDefault="00542CE3" w:rsidP="00043D20">
      <w:pPr>
        <w:pStyle w:val="Prrafodelista"/>
        <w:ind w:left="851"/>
        <w:jc w:val="both"/>
      </w:pPr>
    </w:p>
    <w:p w:rsidR="00DB5449" w:rsidRDefault="00DB5449" w:rsidP="00043D20">
      <w:pPr>
        <w:pStyle w:val="Prrafodelista"/>
        <w:ind w:left="851"/>
        <w:jc w:val="both"/>
      </w:pPr>
    </w:p>
    <w:p w:rsidR="00205403" w:rsidRPr="008A47CF" w:rsidRDefault="00205403" w:rsidP="00043D20">
      <w:pPr>
        <w:pStyle w:val="Prrafodelista"/>
        <w:ind w:left="851"/>
        <w:jc w:val="both"/>
      </w:pPr>
    </w:p>
    <w:p w:rsidR="004768F1" w:rsidRPr="008A47CF" w:rsidRDefault="004C7536" w:rsidP="0073679C">
      <w:pPr>
        <w:pStyle w:val="Prrafodelista"/>
        <w:numPr>
          <w:ilvl w:val="0"/>
          <w:numId w:val="2"/>
        </w:numPr>
        <w:ind w:left="426" w:hanging="426"/>
        <w:rPr>
          <w:b/>
          <w:color w:val="215868" w:themeColor="accent5" w:themeShade="80"/>
        </w:rPr>
      </w:pPr>
      <w:r>
        <w:rPr>
          <w:b/>
          <w:color w:val="215868" w:themeColor="accent5" w:themeShade="80"/>
        </w:rPr>
        <w:t xml:space="preserve">COMPARATIVO </w:t>
      </w:r>
      <w:r w:rsidR="006E5265">
        <w:rPr>
          <w:b/>
          <w:color w:val="215868" w:themeColor="accent5" w:themeShade="80"/>
        </w:rPr>
        <w:t>DE RESULT</w:t>
      </w:r>
      <w:r w:rsidR="009B5441">
        <w:rPr>
          <w:b/>
          <w:color w:val="215868" w:themeColor="accent5" w:themeShade="80"/>
        </w:rPr>
        <w:t>A</w:t>
      </w:r>
      <w:r w:rsidR="006E5265">
        <w:rPr>
          <w:b/>
          <w:color w:val="215868" w:themeColor="accent5" w:themeShade="80"/>
        </w:rPr>
        <w:t xml:space="preserve">DOS </w:t>
      </w:r>
      <w:r>
        <w:rPr>
          <w:b/>
          <w:color w:val="215868" w:themeColor="accent5" w:themeShade="80"/>
        </w:rPr>
        <w:t xml:space="preserve">POR FACTORES </w:t>
      </w:r>
      <w:r w:rsidR="009B5441">
        <w:rPr>
          <w:b/>
          <w:color w:val="215868" w:themeColor="accent5" w:themeShade="80"/>
        </w:rPr>
        <w:t xml:space="preserve">EVALUADOS </w:t>
      </w:r>
      <w:r>
        <w:rPr>
          <w:b/>
          <w:color w:val="215868" w:themeColor="accent5" w:themeShade="80"/>
        </w:rPr>
        <w:t>EN LOS TRES ÚLTIMO AÑOS</w:t>
      </w:r>
    </w:p>
    <w:p w:rsidR="00043D20" w:rsidRDefault="00043D20" w:rsidP="00043D20">
      <w:pPr>
        <w:pStyle w:val="Prrafodelista"/>
        <w:rPr>
          <w:b/>
        </w:rPr>
      </w:pPr>
    </w:p>
    <w:p w:rsidR="00522FD2" w:rsidRPr="008A47CF" w:rsidRDefault="006E5265" w:rsidP="00934875">
      <w:pPr>
        <w:pStyle w:val="Prrafodelista"/>
        <w:ind w:left="0"/>
        <w:rPr>
          <w:b/>
        </w:rPr>
      </w:pPr>
      <w:r w:rsidRPr="006E5265">
        <w:rPr>
          <w:b/>
          <w:noProof/>
          <w:lang w:eastAsia="es-CO"/>
        </w:rPr>
        <w:drawing>
          <wp:inline distT="0" distB="0" distL="0" distR="0">
            <wp:extent cx="6236970" cy="2613660"/>
            <wp:effectExtent l="19050" t="0" r="11430" b="0"/>
            <wp:docPr id="8"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34875" w:rsidRDefault="00934875" w:rsidP="00934875">
      <w:pPr>
        <w:pStyle w:val="Prrafodelista"/>
        <w:rPr>
          <w:b/>
        </w:rPr>
      </w:pPr>
    </w:p>
    <w:p w:rsidR="00934875" w:rsidRPr="009B5441" w:rsidRDefault="00934875" w:rsidP="00934875">
      <w:pPr>
        <w:pStyle w:val="Prrafodelista"/>
        <w:numPr>
          <w:ilvl w:val="1"/>
          <w:numId w:val="2"/>
        </w:numPr>
        <w:rPr>
          <w:b/>
        </w:rPr>
      </w:pPr>
      <w:r>
        <w:rPr>
          <w:b/>
        </w:rPr>
        <w:t>Entorno de control</w:t>
      </w:r>
    </w:p>
    <w:p w:rsidR="00934875" w:rsidRDefault="009B5441" w:rsidP="009B5441">
      <w:pPr>
        <w:jc w:val="center"/>
        <w:rPr>
          <w:b/>
        </w:rPr>
      </w:pPr>
      <w:r w:rsidRPr="009B5441">
        <w:rPr>
          <w:b/>
          <w:noProof/>
          <w:lang w:eastAsia="es-CO"/>
        </w:rPr>
        <w:drawing>
          <wp:inline distT="0" distB="0" distL="0" distR="0">
            <wp:extent cx="5261610" cy="685800"/>
            <wp:effectExtent l="19050" t="0" r="0" b="0"/>
            <wp:docPr id="1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l="23965" t="25566" r="22110" b="61909"/>
                    <a:stretch>
                      <a:fillRect/>
                    </a:stretch>
                  </pic:blipFill>
                  <pic:spPr bwMode="auto">
                    <a:xfrm>
                      <a:off x="0" y="0"/>
                      <a:ext cx="5261610" cy="685800"/>
                    </a:xfrm>
                    <a:prstGeom prst="rect">
                      <a:avLst/>
                    </a:prstGeom>
                    <a:noFill/>
                    <a:ln w="9525">
                      <a:noFill/>
                      <a:miter lim="800000"/>
                      <a:headEnd/>
                      <a:tailEnd/>
                    </a:ln>
                  </pic:spPr>
                </pic:pic>
              </a:graphicData>
            </a:graphic>
          </wp:inline>
        </w:drawing>
      </w:r>
      <w:r w:rsidR="00934875">
        <w:rPr>
          <w:b/>
          <w:noProof/>
          <w:lang w:eastAsia="es-CO"/>
        </w:rPr>
        <w:drawing>
          <wp:inline distT="0" distB="0" distL="0" distR="0">
            <wp:extent cx="5295900" cy="3105964"/>
            <wp:effectExtent l="190500" t="152400" r="171450" b="132536"/>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25051" t="29282" r="21453" b="15027"/>
                    <a:stretch>
                      <a:fillRect/>
                    </a:stretch>
                  </pic:blipFill>
                  <pic:spPr bwMode="auto">
                    <a:xfrm>
                      <a:off x="0" y="0"/>
                      <a:ext cx="5292194" cy="3103790"/>
                    </a:xfrm>
                    <a:prstGeom prst="rect">
                      <a:avLst/>
                    </a:prstGeom>
                    <a:ln>
                      <a:noFill/>
                    </a:ln>
                    <a:effectLst>
                      <a:outerShdw blurRad="190500" algn="tl" rotWithShape="0">
                        <a:srgbClr val="000000">
                          <a:alpha val="70000"/>
                        </a:srgbClr>
                      </a:outerShdw>
                    </a:effectLst>
                  </pic:spPr>
                </pic:pic>
              </a:graphicData>
            </a:graphic>
          </wp:inline>
        </w:drawing>
      </w:r>
    </w:p>
    <w:p w:rsidR="00934875" w:rsidRDefault="00934875" w:rsidP="00934875">
      <w:pPr>
        <w:pStyle w:val="Prrafodelista"/>
        <w:ind w:left="0"/>
        <w:rPr>
          <w:b/>
        </w:rPr>
      </w:pPr>
    </w:p>
    <w:p w:rsidR="00934875" w:rsidRPr="009B5441" w:rsidRDefault="00934875" w:rsidP="00934875">
      <w:pPr>
        <w:pStyle w:val="Prrafodelista"/>
        <w:numPr>
          <w:ilvl w:val="1"/>
          <w:numId w:val="2"/>
        </w:numPr>
        <w:rPr>
          <w:b/>
        </w:rPr>
      </w:pPr>
      <w:r>
        <w:rPr>
          <w:b/>
        </w:rPr>
        <w:lastRenderedPageBreak/>
        <w:t>Información y comunicación</w:t>
      </w:r>
    </w:p>
    <w:p w:rsidR="00934875" w:rsidRPr="00934875" w:rsidRDefault="009B5441" w:rsidP="009B5441">
      <w:pPr>
        <w:ind w:left="360"/>
        <w:jc w:val="center"/>
        <w:rPr>
          <w:b/>
        </w:rPr>
      </w:pPr>
      <w:r w:rsidRPr="009B5441">
        <w:rPr>
          <w:b/>
          <w:noProof/>
          <w:lang w:eastAsia="es-CO"/>
        </w:rPr>
        <w:drawing>
          <wp:inline distT="0" distB="0" distL="0" distR="0">
            <wp:extent cx="5474970" cy="943550"/>
            <wp:effectExtent l="19050" t="0" r="0" b="0"/>
            <wp:docPr id="1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l="23965" t="38230" r="22110" b="45208"/>
                    <a:stretch>
                      <a:fillRect/>
                    </a:stretch>
                  </pic:blipFill>
                  <pic:spPr bwMode="auto">
                    <a:xfrm>
                      <a:off x="0" y="0"/>
                      <a:ext cx="5474970" cy="943550"/>
                    </a:xfrm>
                    <a:prstGeom prst="rect">
                      <a:avLst/>
                    </a:prstGeom>
                    <a:noFill/>
                    <a:ln w="9525">
                      <a:noFill/>
                      <a:miter lim="800000"/>
                      <a:headEnd/>
                      <a:tailEnd/>
                    </a:ln>
                  </pic:spPr>
                </pic:pic>
              </a:graphicData>
            </a:graphic>
          </wp:inline>
        </w:drawing>
      </w:r>
      <w:r w:rsidR="00513D10">
        <w:rPr>
          <w:b/>
          <w:noProof/>
          <w:lang w:eastAsia="es-CO"/>
        </w:rPr>
        <w:drawing>
          <wp:inline distT="0" distB="0" distL="0" distR="0">
            <wp:extent cx="5141855" cy="3665220"/>
            <wp:effectExtent l="190500" t="152400" r="173095" b="125730"/>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24915" t="21498" r="22132" b="11353"/>
                    <a:stretch>
                      <a:fillRect/>
                    </a:stretch>
                  </pic:blipFill>
                  <pic:spPr bwMode="auto">
                    <a:xfrm>
                      <a:off x="0" y="0"/>
                      <a:ext cx="5141855" cy="3665220"/>
                    </a:xfrm>
                    <a:prstGeom prst="rect">
                      <a:avLst/>
                    </a:prstGeom>
                    <a:ln>
                      <a:noFill/>
                    </a:ln>
                    <a:effectLst>
                      <a:outerShdw blurRad="190500" algn="tl" rotWithShape="0">
                        <a:srgbClr val="000000">
                          <a:alpha val="70000"/>
                        </a:srgbClr>
                      </a:outerShdw>
                    </a:effectLst>
                  </pic:spPr>
                </pic:pic>
              </a:graphicData>
            </a:graphic>
          </wp:inline>
        </w:drawing>
      </w:r>
    </w:p>
    <w:p w:rsidR="00934875" w:rsidRDefault="00934875" w:rsidP="00934875">
      <w:pPr>
        <w:pStyle w:val="Prrafodelista"/>
        <w:rPr>
          <w:b/>
        </w:rPr>
      </w:pPr>
    </w:p>
    <w:p w:rsidR="009B5441" w:rsidRDefault="009B5441" w:rsidP="00934875">
      <w:pPr>
        <w:pStyle w:val="Prrafodelista"/>
        <w:rPr>
          <w:b/>
        </w:rPr>
      </w:pPr>
    </w:p>
    <w:p w:rsidR="009B5441" w:rsidRDefault="009B5441" w:rsidP="00934875">
      <w:pPr>
        <w:pStyle w:val="Prrafodelista"/>
        <w:rPr>
          <w:b/>
        </w:rPr>
      </w:pPr>
    </w:p>
    <w:p w:rsidR="009B5441" w:rsidRDefault="009B5441" w:rsidP="00934875">
      <w:pPr>
        <w:pStyle w:val="Prrafodelista"/>
        <w:rPr>
          <w:b/>
        </w:rPr>
      </w:pPr>
    </w:p>
    <w:p w:rsidR="009B5441" w:rsidRDefault="009B5441" w:rsidP="00934875">
      <w:pPr>
        <w:pStyle w:val="Prrafodelista"/>
        <w:rPr>
          <w:b/>
        </w:rPr>
      </w:pPr>
    </w:p>
    <w:p w:rsidR="009B5441" w:rsidRDefault="009B5441" w:rsidP="00934875">
      <w:pPr>
        <w:pStyle w:val="Prrafodelista"/>
        <w:rPr>
          <w:b/>
        </w:rPr>
      </w:pPr>
    </w:p>
    <w:p w:rsidR="009B5441" w:rsidRDefault="009B5441" w:rsidP="00934875">
      <w:pPr>
        <w:pStyle w:val="Prrafodelista"/>
        <w:rPr>
          <w:b/>
        </w:rPr>
      </w:pPr>
    </w:p>
    <w:p w:rsidR="009B5441" w:rsidRDefault="009B5441" w:rsidP="00934875">
      <w:pPr>
        <w:pStyle w:val="Prrafodelista"/>
        <w:rPr>
          <w:b/>
        </w:rPr>
      </w:pPr>
    </w:p>
    <w:p w:rsidR="009B5441" w:rsidRDefault="009B5441" w:rsidP="00934875">
      <w:pPr>
        <w:pStyle w:val="Prrafodelista"/>
        <w:rPr>
          <w:b/>
        </w:rPr>
      </w:pPr>
    </w:p>
    <w:p w:rsidR="009B5441" w:rsidRDefault="009B5441" w:rsidP="00934875">
      <w:pPr>
        <w:pStyle w:val="Prrafodelista"/>
        <w:rPr>
          <w:b/>
        </w:rPr>
      </w:pPr>
    </w:p>
    <w:p w:rsidR="009B5441" w:rsidRDefault="009B5441" w:rsidP="00934875">
      <w:pPr>
        <w:pStyle w:val="Prrafodelista"/>
        <w:rPr>
          <w:b/>
        </w:rPr>
      </w:pPr>
    </w:p>
    <w:p w:rsidR="009B5441" w:rsidRDefault="009B5441" w:rsidP="00934875">
      <w:pPr>
        <w:pStyle w:val="Prrafodelista"/>
        <w:rPr>
          <w:b/>
        </w:rPr>
      </w:pPr>
    </w:p>
    <w:p w:rsidR="009B5441" w:rsidRDefault="009B5441" w:rsidP="00934875">
      <w:pPr>
        <w:pStyle w:val="Prrafodelista"/>
        <w:rPr>
          <w:b/>
        </w:rPr>
      </w:pPr>
    </w:p>
    <w:p w:rsidR="009B5441" w:rsidRDefault="009B5441" w:rsidP="00934875">
      <w:pPr>
        <w:pStyle w:val="Prrafodelista"/>
        <w:rPr>
          <w:b/>
        </w:rPr>
      </w:pPr>
    </w:p>
    <w:p w:rsidR="00934875" w:rsidRPr="009B5441" w:rsidRDefault="00934875" w:rsidP="00934875">
      <w:pPr>
        <w:pStyle w:val="Prrafodelista"/>
        <w:numPr>
          <w:ilvl w:val="1"/>
          <w:numId w:val="2"/>
        </w:numPr>
        <w:rPr>
          <w:b/>
        </w:rPr>
      </w:pPr>
      <w:r>
        <w:rPr>
          <w:b/>
        </w:rPr>
        <w:lastRenderedPageBreak/>
        <w:t>Direccionamiento estratégico</w:t>
      </w:r>
    </w:p>
    <w:p w:rsidR="009B5441" w:rsidRDefault="009B5441" w:rsidP="009B5441">
      <w:pPr>
        <w:pStyle w:val="Prrafodelista"/>
        <w:ind w:left="0"/>
        <w:jc w:val="center"/>
        <w:rPr>
          <w:b/>
        </w:rPr>
      </w:pPr>
      <w:r w:rsidRPr="009B5441">
        <w:rPr>
          <w:b/>
          <w:noProof/>
          <w:lang w:eastAsia="es-CO"/>
        </w:rPr>
        <w:drawing>
          <wp:inline distT="0" distB="0" distL="0" distR="0">
            <wp:extent cx="5261610" cy="601980"/>
            <wp:effectExtent l="19050" t="0" r="0" b="0"/>
            <wp:docPr id="1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l="23965" t="55488" r="22110" b="33517"/>
                    <a:stretch>
                      <a:fillRect/>
                    </a:stretch>
                  </pic:blipFill>
                  <pic:spPr bwMode="auto">
                    <a:xfrm>
                      <a:off x="0" y="0"/>
                      <a:ext cx="5261610" cy="601980"/>
                    </a:xfrm>
                    <a:prstGeom prst="rect">
                      <a:avLst/>
                    </a:prstGeom>
                    <a:noFill/>
                    <a:ln w="9525">
                      <a:noFill/>
                      <a:miter lim="800000"/>
                      <a:headEnd/>
                      <a:tailEnd/>
                    </a:ln>
                  </pic:spPr>
                </pic:pic>
              </a:graphicData>
            </a:graphic>
          </wp:inline>
        </w:drawing>
      </w:r>
    </w:p>
    <w:p w:rsidR="00934875" w:rsidRDefault="00513D10" w:rsidP="00513D10">
      <w:pPr>
        <w:pStyle w:val="Prrafodelista"/>
        <w:ind w:left="0"/>
        <w:rPr>
          <w:b/>
        </w:rPr>
      </w:pPr>
      <w:r>
        <w:rPr>
          <w:b/>
          <w:noProof/>
          <w:lang w:eastAsia="es-CO"/>
        </w:rPr>
        <w:drawing>
          <wp:inline distT="0" distB="0" distL="0" distR="0">
            <wp:extent cx="5162550" cy="2842378"/>
            <wp:effectExtent l="190500" t="152400" r="171450" b="129422"/>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l="24351" t="31884" r="22675" b="16184"/>
                    <a:stretch>
                      <a:fillRect/>
                    </a:stretch>
                  </pic:blipFill>
                  <pic:spPr bwMode="auto">
                    <a:xfrm>
                      <a:off x="0" y="0"/>
                      <a:ext cx="5162550" cy="2842378"/>
                    </a:xfrm>
                    <a:prstGeom prst="rect">
                      <a:avLst/>
                    </a:prstGeom>
                    <a:ln>
                      <a:noFill/>
                    </a:ln>
                    <a:effectLst>
                      <a:outerShdw blurRad="190500" algn="tl" rotWithShape="0">
                        <a:srgbClr val="000000">
                          <a:alpha val="70000"/>
                        </a:srgbClr>
                      </a:outerShdw>
                    </a:effectLst>
                  </pic:spPr>
                </pic:pic>
              </a:graphicData>
            </a:graphic>
          </wp:inline>
        </w:drawing>
      </w:r>
    </w:p>
    <w:p w:rsidR="00513D10" w:rsidRDefault="00513D10" w:rsidP="00934875">
      <w:pPr>
        <w:pStyle w:val="Prrafodelista"/>
        <w:rPr>
          <w:b/>
        </w:rPr>
      </w:pPr>
    </w:p>
    <w:p w:rsidR="00934875" w:rsidRPr="00B54ABF" w:rsidRDefault="00934875" w:rsidP="00934875">
      <w:pPr>
        <w:pStyle w:val="Prrafodelista"/>
        <w:numPr>
          <w:ilvl w:val="1"/>
          <w:numId w:val="2"/>
        </w:numPr>
        <w:rPr>
          <w:b/>
        </w:rPr>
      </w:pPr>
      <w:r>
        <w:rPr>
          <w:b/>
        </w:rPr>
        <w:t>Administración de riesgos</w:t>
      </w:r>
    </w:p>
    <w:p w:rsidR="00934875" w:rsidRPr="00934875" w:rsidRDefault="00B54ABF" w:rsidP="00B54ABF">
      <w:pPr>
        <w:pStyle w:val="Prrafodelista"/>
        <w:ind w:left="0"/>
        <w:jc w:val="center"/>
        <w:rPr>
          <w:b/>
        </w:rPr>
      </w:pPr>
      <w:r w:rsidRPr="00B54ABF">
        <w:rPr>
          <w:b/>
          <w:noProof/>
          <w:lang w:eastAsia="es-CO"/>
        </w:rPr>
        <w:drawing>
          <wp:inline distT="0" distB="0" distL="0" distR="0">
            <wp:extent cx="5685933" cy="510540"/>
            <wp:effectExtent l="19050" t="0" r="0" b="0"/>
            <wp:docPr id="1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l="23965" t="66900" r="22110" b="24471"/>
                    <a:stretch>
                      <a:fillRect/>
                    </a:stretch>
                  </pic:blipFill>
                  <pic:spPr bwMode="auto">
                    <a:xfrm>
                      <a:off x="0" y="0"/>
                      <a:ext cx="5685933" cy="510540"/>
                    </a:xfrm>
                    <a:prstGeom prst="rect">
                      <a:avLst/>
                    </a:prstGeom>
                    <a:noFill/>
                    <a:ln w="9525">
                      <a:noFill/>
                      <a:miter lim="800000"/>
                      <a:headEnd/>
                      <a:tailEnd/>
                    </a:ln>
                  </pic:spPr>
                </pic:pic>
              </a:graphicData>
            </a:graphic>
          </wp:inline>
        </w:drawing>
      </w:r>
      <w:r w:rsidR="004A7FD0">
        <w:rPr>
          <w:b/>
          <w:noProof/>
          <w:lang w:eastAsia="es-CO"/>
        </w:rPr>
        <w:drawing>
          <wp:inline distT="0" distB="0" distL="0" distR="0">
            <wp:extent cx="4935220" cy="2305050"/>
            <wp:effectExtent l="190500" t="152400" r="170180" b="133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l="25323" t="31934" r="21860" b="24251"/>
                    <a:stretch>
                      <a:fillRect/>
                    </a:stretch>
                  </pic:blipFill>
                  <pic:spPr bwMode="auto">
                    <a:xfrm>
                      <a:off x="0" y="0"/>
                      <a:ext cx="4935220" cy="2305050"/>
                    </a:xfrm>
                    <a:prstGeom prst="rect">
                      <a:avLst/>
                    </a:prstGeom>
                    <a:ln>
                      <a:noFill/>
                    </a:ln>
                    <a:effectLst>
                      <a:outerShdw blurRad="190500" algn="tl" rotWithShape="0">
                        <a:srgbClr val="000000">
                          <a:alpha val="70000"/>
                        </a:srgbClr>
                      </a:outerShdw>
                    </a:effectLst>
                  </pic:spPr>
                </pic:pic>
              </a:graphicData>
            </a:graphic>
          </wp:inline>
        </w:drawing>
      </w:r>
    </w:p>
    <w:p w:rsidR="00934875" w:rsidRDefault="00934875" w:rsidP="00934875">
      <w:pPr>
        <w:pStyle w:val="Prrafodelista"/>
        <w:rPr>
          <w:b/>
        </w:rPr>
      </w:pPr>
    </w:p>
    <w:p w:rsidR="00B54ABF" w:rsidRDefault="00B54ABF" w:rsidP="00934875">
      <w:pPr>
        <w:pStyle w:val="Prrafodelista"/>
        <w:rPr>
          <w:b/>
        </w:rPr>
      </w:pPr>
    </w:p>
    <w:p w:rsidR="00B54ABF" w:rsidRDefault="00B54ABF" w:rsidP="00934875">
      <w:pPr>
        <w:pStyle w:val="Prrafodelista"/>
        <w:rPr>
          <w:b/>
        </w:rPr>
      </w:pPr>
    </w:p>
    <w:p w:rsidR="00B54ABF" w:rsidRDefault="00B54ABF" w:rsidP="00934875">
      <w:pPr>
        <w:pStyle w:val="Prrafodelista"/>
        <w:rPr>
          <w:b/>
        </w:rPr>
      </w:pPr>
    </w:p>
    <w:p w:rsidR="00B54ABF" w:rsidRDefault="00B54ABF" w:rsidP="00934875">
      <w:pPr>
        <w:pStyle w:val="Prrafodelista"/>
        <w:rPr>
          <w:b/>
        </w:rPr>
      </w:pPr>
    </w:p>
    <w:p w:rsidR="00934875" w:rsidRPr="00B54ABF" w:rsidRDefault="00934875" w:rsidP="00934875">
      <w:pPr>
        <w:pStyle w:val="Prrafodelista"/>
        <w:numPr>
          <w:ilvl w:val="1"/>
          <w:numId w:val="2"/>
        </w:numPr>
        <w:rPr>
          <w:b/>
        </w:rPr>
      </w:pPr>
      <w:r>
        <w:rPr>
          <w:b/>
        </w:rPr>
        <w:t>Seguimiento</w:t>
      </w:r>
    </w:p>
    <w:p w:rsidR="001167AD" w:rsidRDefault="00B54ABF" w:rsidP="00B54ABF">
      <w:pPr>
        <w:pStyle w:val="Prrafodelista"/>
        <w:ind w:left="0"/>
        <w:jc w:val="center"/>
      </w:pPr>
      <w:r>
        <w:rPr>
          <w:b/>
          <w:noProof/>
          <w:lang w:eastAsia="es-CO"/>
        </w:rPr>
        <w:drawing>
          <wp:inline distT="0" distB="0" distL="0" distR="0">
            <wp:extent cx="5360670" cy="687784"/>
            <wp:effectExtent l="19050" t="0" r="0" b="0"/>
            <wp:docPr id="2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l="24121" t="75987" r="21792" b="11710"/>
                    <a:stretch>
                      <a:fillRect/>
                    </a:stretch>
                  </pic:blipFill>
                  <pic:spPr bwMode="auto">
                    <a:xfrm>
                      <a:off x="0" y="0"/>
                      <a:ext cx="5360670" cy="687784"/>
                    </a:xfrm>
                    <a:prstGeom prst="rect">
                      <a:avLst/>
                    </a:prstGeom>
                    <a:noFill/>
                    <a:ln w="9525">
                      <a:noFill/>
                      <a:miter lim="800000"/>
                      <a:headEnd/>
                      <a:tailEnd/>
                    </a:ln>
                  </pic:spPr>
                </pic:pic>
              </a:graphicData>
            </a:graphic>
          </wp:inline>
        </w:drawing>
      </w:r>
      <w:r w:rsidR="004A7FD0">
        <w:rPr>
          <w:noProof/>
          <w:lang w:eastAsia="es-CO"/>
        </w:rPr>
        <w:drawing>
          <wp:inline distT="0" distB="0" distL="0" distR="0">
            <wp:extent cx="4434840" cy="1424862"/>
            <wp:effectExtent l="190500" t="152400" r="175260" b="137238"/>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l="24779" t="37419" r="22132" b="32316"/>
                    <a:stretch>
                      <a:fillRect/>
                    </a:stretch>
                  </pic:blipFill>
                  <pic:spPr bwMode="auto">
                    <a:xfrm>
                      <a:off x="0" y="0"/>
                      <a:ext cx="4434840" cy="1424862"/>
                    </a:xfrm>
                    <a:prstGeom prst="rect">
                      <a:avLst/>
                    </a:prstGeom>
                    <a:ln>
                      <a:noFill/>
                    </a:ln>
                    <a:effectLst>
                      <a:outerShdw blurRad="190500" algn="tl" rotWithShape="0">
                        <a:srgbClr val="000000">
                          <a:alpha val="70000"/>
                        </a:srgbClr>
                      </a:outerShdw>
                    </a:effectLst>
                  </pic:spPr>
                </pic:pic>
              </a:graphicData>
            </a:graphic>
          </wp:inline>
        </w:drawing>
      </w:r>
    </w:p>
    <w:p w:rsidR="00277078" w:rsidRPr="008A47CF" w:rsidRDefault="00CB6404" w:rsidP="0073679C">
      <w:pPr>
        <w:pStyle w:val="Prrafodelista"/>
        <w:numPr>
          <w:ilvl w:val="0"/>
          <w:numId w:val="1"/>
        </w:numPr>
        <w:pBdr>
          <w:top w:val="single" w:sz="4" w:space="1" w:color="auto"/>
          <w:left w:val="single" w:sz="4" w:space="4" w:color="auto"/>
          <w:bottom w:val="single" w:sz="4" w:space="0" w:color="auto"/>
          <w:right w:val="single" w:sz="4" w:space="4" w:color="auto"/>
        </w:pBdr>
        <w:shd w:val="clear" w:color="auto" w:fill="92CDDC" w:themeFill="accent5" w:themeFillTint="99"/>
        <w:jc w:val="center"/>
        <w:rPr>
          <w:b/>
        </w:rPr>
      </w:pPr>
      <w:r>
        <w:rPr>
          <w:b/>
        </w:rPr>
        <w:t>CONTROL INTERNO CONTABLE</w:t>
      </w:r>
    </w:p>
    <w:p w:rsidR="0073679C" w:rsidRPr="008A47CF" w:rsidRDefault="0073679C" w:rsidP="0073679C">
      <w:pPr>
        <w:pStyle w:val="Prrafodelista"/>
        <w:rPr>
          <w:b/>
          <w:color w:val="215868" w:themeColor="accent5" w:themeShade="80"/>
        </w:rPr>
      </w:pPr>
    </w:p>
    <w:p w:rsidR="002E1772" w:rsidRDefault="002E1772" w:rsidP="002E1772">
      <w:pPr>
        <w:pStyle w:val="Prrafodelista"/>
        <w:numPr>
          <w:ilvl w:val="0"/>
          <w:numId w:val="2"/>
        </w:numPr>
        <w:ind w:left="567" w:hanging="567"/>
        <w:rPr>
          <w:b/>
          <w:color w:val="215868" w:themeColor="accent5" w:themeShade="80"/>
        </w:rPr>
      </w:pPr>
      <w:r>
        <w:rPr>
          <w:b/>
          <w:color w:val="215868" w:themeColor="accent5" w:themeShade="80"/>
        </w:rPr>
        <w:t>COMPARATIVO GENERAL DE LOS TRES ÚLTIMOS AÑOS</w:t>
      </w:r>
    </w:p>
    <w:p w:rsidR="00301648" w:rsidRDefault="002E1772" w:rsidP="00301648">
      <w:pPr>
        <w:pStyle w:val="Prrafodelista"/>
        <w:ind w:left="851"/>
        <w:jc w:val="both"/>
      </w:pPr>
      <w:r w:rsidRPr="002E1772">
        <w:rPr>
          <w:noProof/>
          <w:lang w:eastAsia="es-CO"/>
        </w:rPr>
        <w:drawing>
          <wp:inline distT="0" distB="0" distL="0" distR="0">
            <wp:extent cx="4385310" cy="2270760"/>
            <wp:effectExtent l="19050" t="0" r="15240" b="0"/>
            <wp:docPr id="26"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E1772" w:rsidRDefault="002E1772" w:rsidP="00301648">
      <w:pPr>
        <w:pStyle w:val="Prrafodelista"/>
        <w:ind w:left="851"/>
        <w:jc w:val="both"/>
      </w:pPr>
    </w:p>
    <w:p w:rsidR="00F330D1" w:rsidRDefault="002E1772" w:rsidP="00301648">
      <w:pPr>
        <w:pStyle w:val="Prrafodelista"/>
        <w:ind w:left="851"/>
        <w:jc w:val="both"/>
      </w:pPr>
      <w:r>
        <w:t xml:space="preserve">El Instituto Caro y Cuervo obtuvo para el año 2015 una </w:t>
      </w:r>
      <w:r w:rsidR="00F330D1">
        <w:t xml:space="preserve">puntuación </w:t>
      </w:r>
      <w:r>
        <w:t xml:space="preserve"> general que lo sitúa en un nivel </w:t>
      </w:r>
      <w:r w:rsidRPr="002E1772">
        <w:rPr>
          <w:b/>
        </w:rPr>
        <w:t>SATISFACTORIO</w:t>
      </w:r>
      <w:r>
        <w:t xml:space="preserve">, </w:t>
      </w:r>
      <w:r w:rsidR="00F330D1">
        <w:t>según el rango de interpretación</w:t>
      </w:r>
      <w:r>
        <w:t xml:space="preserve">. </w:t>
      </w:r>
    </w:p>
    <w:p w:rsidR="00F330D1" w:rsidRDefault="00F330D1" w:rsidP="00F330D1">
      <w:pPr>
        <w:pStyle w:val="Prrafodelista"/>
        <w:ind w:left="851"/>
        <w:jc w:val="center"/>
      </w:pPr>
      <w:r>
        <w:rPr>
          <w:noProof/>
          <w:lang w:eastAsia="es-CO"/>
        </w:rPr>
        <w:drawing>
          <wp:inline distT="0" distB="0" distL="0" distR="0">
            <wp:extent cx="3641271" cy="1699260"/>
            <wp:effectExtent l="19050" t="0" r="0" b="0"/>
            <wp:docPr id="2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l="15411" t="53623" r="41819" b="10870"/>
                    <a:stretch>
                      <a:fillRect/>
                    </a:stretch>
                  </pic:blipFill>
                  <pic:spPr bwMode="auto">
                    <a:xfrm>
                      <a:off x="0" y="0"/>
                      <a:ext cx="3641271" cy="1699260"/>
                    </a:xfrm>
                    <a:prstGeom prst="rect">
                      <a:avLst/>
                    </a:prstGeom>
                    <a:noFill/>
                    <a:ln w="9525">
                      <a:noFill/>
                      <a:miter lim="800000"/>
                      <a:headEnd/>
                      <a:tailEnd/>
                    </a:ln>
                  </pic:spPr>
                </pic:pic>
              </a:graphicData>
            </a:graphic>
          </wp:inline>
        </w:drawing>
      </w:r>
    </w:p>
    <w:p w:rsidR="00521BD8" w:rsidRDefault="00521BD8" w:rsidP="00301648">
      <w:pPr>
        <w:pStyle w:val="Prrafodelista"/>
        <w:ind w:left="851"/>
        <w:jc w:val="both"/>
      </w:pPr>
    </w:p>
    <w:p w:rsidR="002E1772" w:rsidRDefault="002E1772" w:rsidP="002E1772">
      <w:pPr>
        <w:pStyle w:val="Prrafodelista"/>
        <w:numPr>
          <w:ilvl w:val="0"/>
          <w:numId w:val="2"/>
        </w:numPr>
        <w:ind w:left="567" w:hanging="567"/>
        <w:rPr>
          <w:b/>
          <w:color w:val="215868" w:themeColor="accent5" w:themeShade="80"/>
        </w:rPr>
      </w:pPr>
      <w:r>
        <w:rPr>
          <w:b/>
          <w:color w:val="215868" w:themeColor="accent5" w:themeShade="80"/>
        </w:rPr>
        <w:lastRenderedPageBreak/>
        <w:t xml:space="preserve">COMPARATIVO </w:t>
      </w:r>
      <w:r w:rsidR="00521BD8">
        <w:rPr>
          <w:b/>
          <w:color w:val="215868" w:themeColor="accent5" w:themeShade="80"/>
        </w:rPr>
        <w:t xml:space="preserve">POR ACTIVIDADES CONTABLES  EN </w:t>
      </w:r>
      <w:r>
        <w:rPr>
          <w:b/>
          <w:color w:val="215868" w:themeColor="accent5" w:themeShade="80"/>
        </w:rPr>
        <w:t>LOS TRES ÚLTIMOS AÑOS</w:t>
      </w:r>
    </w:p>
    <w:p w:rsidR="00521BD8" w:rsidRDefault="00521BD8" w:rsidP="00521BD8">
      <w:pPr>
        <w:rPr>
          <w:b/>
          <w:color w:val="215868" w:themeColor="accent5" w:themeShade="80"/>
          <w:sz w:val="18"/>
        </w:rPr>
      </w:pPr>
      <w:r w:rsidRPr="00521BD8">
        <w:rPr>
          <w:b/>
          <w:noProof/>
          <w:color w:val="215868" w:themeColor="accent5" w:themeShade="80"/>
          <w:sz w:val="18"/>
          <w:lang w:eastAsia="es-CO"/>
        </w:rPr>
        <w:drawing>
          <wp:inline distT="0" distB="0" distL="0" distR="0">
            <wp:extent cx="5970270" cy="3348990"/>
            <wp:effectExtent l="19050" t="0" r="11430" b="3810"/>
            <wp:docPr id="28"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75BA7" w:rsidRDefault="00E75BA7" w:rsidP="00E75BA7">
      <w:pPr>
        <w:pStyle w:val="Prrafodelista"/>
        <w:numPr>
          <w:ilvl w:val="0"/>
          <w:numId w:val="2"/>
        </w:numPr>
        <w:ind w:left="567" w:hanging="567"/>
        <w:rPr>
          <w:b/>
          <w:color w:val="215868" w:themeColor="accent5" w:themeShade="80"/>
        </w:rPr>
      </w:pPr>
      <w:r>
        <w:rPr>
          <w:b/>
          <w:color w:val="215868" w:themeColor="accent5" w:themeShade="80"/>
        </w:rPr>
        <w:t>Interpretación</w:t>
      </w:r>
      <w:r w:rsidR="00880A6D">
        <w:rPr>
          <w:b/>
          <w:color w:val="215868" w:themeColor="accent5" w:themeShade="80"/>
        </w:rPr>
        <w:t xml:space="preserve"> de resultados vigencia </w:t>
      </w:r>
      <w:r w:rsidRPr="00E75BA7">
        <w:rPr>
          <w:b/>
          <w:color w:val="215868" w:themeColor="accent5" w:themeShade="80"/>
        </w:rPr>
        <w:t>2015</w:t>
      </w:r>
    </w:p>
    <w:p w:rsidR="006F2570" w:rsidRPr="00E75BA7" w:rsidRDefault="006F2570" w:rsidP="006F2570">
      <w:pPr>
        <w:pStyle w:val="Prrafodelista"/>
        <w:ind w:left="567"/>
        <w:rPr>
          <w:b/>
          <w:color w:val="215868" w:themeColor="accent5" w:themeShade="80"/>
        </w:rPr>
      </w:pPr>
    </w:p>
    <w:tbl>
      <w:tblPr>
        <w:tblStyle w:val="Tablaconcuadrcula"/>
        <w:tblW w:w="0" w:type="auto"/>
        <w:jc w:val="right"/>
        <w:tblInd w:w="851" w:type="dxa"/>
        <w:tblLook w:val="04A0"/>
      </w:tblPr>
      <w:tblGrid>
        <w:gridCol w:w="1616"/>
        <w:gridCol w:w="1501"/>
        <w:gridCol w:w="1129"/>
        <w:gridCol w:w="1449"/>
        <w:gridCol w:w="1129"/>
        <w:gridCol w:w="1179"/>
      </w:tblGrid>
      <w:tr w:rsidR="00F330D1" w:rsidRPr="00223E0B" w:rsidTr="00B17B76">
        <w:trPr>
          <w:jc w:val="right"/>
        </w:trPr>
        <w:tc>
          <w:tcPr>
            <w:tcW w:w="1314" w:type="dxa"/>
            <w:shd w:val="clear" w:color="auto" w:fill="D9D9D9" w:themeFill="background1" w:themeFillShade="D9"/>
          </w:tcPr>
          <w:p w:rsidR="00F330D1" w:rsidRPr="00223E0B" w:rsidRDefault="00F330D1" w:rsidP="00E75BA7">
            <w:pPr>
              <w:pStyle w:val="Prrafodelista"/>
              <w:ind w:left="0"/>
              <w:jc w:val="both"/>
              <w:rPr>
                <w:b/>
              </w:rPr>
            </w:pPr>
            <w:r w:rsidRPr="00223E0B">
              <w:rPr>
                <w:b/>
              </w:rPr>
              <w:t>Identificación…</w:t>
            </w:r>
          </w:p>
        </w:tc>
        <w:tc>
          <w:tcPr>
            <w:tcW w:w="1347" w:type="dxa"/>
            <w:shd w:val="clear" w:color="auto" w:fill="D9D9D9" w:themeFill="background1" w:themeFillShade="D9"/>
          </w:tcPr>
          <w:p w:rsidR="00F330D1" w:rsidRPr="00223E0B" w:rsidRDefault="00F330D1" w:rsidP="00E75BA7">
            <w:pPr>
              <w:pStyle w:val="Prrafodelista"/>
              <w:ind w:left="0"/>
              <w:jc w:val="both"/>
              <w:rPr>
                <w:b/>
              </w:rPr>
            </w:pPr>
            <w:r w:rsidRPr="00223E0B">
              <w:rPr>
                <w:b/>
              </w:rPr>
              <w:t>Clasificación…</w:t>
            </w:r>
          </w:p>
        </w:tc>
        <w:tc>
          <w:tcPr>
            <w:tcW w:w="1091" w:type="dxa"/>
            <w:shd w:val="clear" w:color="auto" w:fill="D9D9D9" w:themeFill="background1" w:themeFillShade="D9"/>
          </w:tcPr>
          <w:p w:rsidR="00F330D1" w:rsidRPr="00223E0B" w:rsidRDefault="00F330D1" w:rsidP="00E75BA7">
            <w:pPr>
              <w:pStyle w:val="Prrafodelista"/>
              <w:ind w:left="0"/>
              <w:jc w:val="both"/>
              <w:rPr>
                <w:b/>
              </w:rPr>
            </w:pPr>
            <w:r w:rsidRPr="00223E0B">
              <w:rPr>
                <w:b/>
              </w:rPr>
              <w:t>Registro…</w:t>
            </w:r>
          </w:p>
        </w:tc>
        <w:tc>
          <w:tcPr>
            <w:tcW w:w="1402" w:type="dxa"/>
            <w:shd w:val="clear" w:color="auto" w:fill="D9D9D9" w:themeFill="background1" w:themeFillShade="D9"/>
          </w:tcPr>
          <w:p w:rsidR="00F330D1" w:rsidRPr="00223E0B" w:rsidRDefault="00F330D1" w:rsidP="00E75BA7">
            <w:pPr>
              <w:pStyle w:val="Prrafodelista"/>
              <w:ind w:left="0"/>
              <w:jc w:val="both"/>
              <w:rPr>
                <w:b/>
              </w:rPr>
            </w:pPr>
            <w:r w:rsidRPr="00223E0B">
              <w:rPr>
                <w:b/>
              </w:rPr>
              <w:t>Elaboración…</w:t>
            </w:r>
          </w:p>
        </w:tc>
        <w:tc>
          <w:tcPr>
            <w:tcW w:w="1028" w:type="dxa"/>
            <w:shd w:val="clear" w:color="auto" w:fill="D9D9D9" w:themeFill="background1" w:themeFillShade="D9"/>
          </w:tcPr>
          <w:p w:rsidR="00F330D1" w:rsidRPr="00223E0B" w:rsidRDefault="00F330D1" w:rsidP="00E75BA7">
            <w:pPr>
              <w:pStyle w:val="Prrafodelista"/>
              <w:ind w:left="0"/>
              <w:jc w:val="both"/>
              <w:rPr>
                <w:b/>
              </w:rPr>
            </w:pPr>
            <w:r w:rsidRPr="00223E0B">
              <w:rPr>
                <w:b/>
              </w:rPr>
              <w:t>Análisis…</w:t>
            </w:r>
          </w:p>
        </w:tc>
        <w:tc>
          <w:tcPr>
            <w:tcW w:w="1145" w:type="dxa"/>
            <w:shd w:val="clear" w:color="auto" w:fill="D9D9D9" w:themeFill="background1" w:themeFillShade="D9"/>
          </w:tcPr>
          <w:p w:rsidR="00F330D1" w:rsidRPr="00223E0B" w:rsidRDefault="00F330D1" w:rsidP="00E75BA7">
            <w:pPr>
              <w:pStyle w:val="Prrafodelista"/>
              <w:ind w:left="0"/>
              <w:jc w:val="both"/>
              <w:rPr>
                <w:b/>
              </w:rPr>
            </w:pPr>
            <w:r w:rsidRPr="00223E0B">
              <w:rPr>
                <w:b/>
              </w:rPr>
              <w:t>Acciones…</w:t>
            </w:r>
          </w:p>
        </w:tc>
      </w:tr>
      <w:tr w:rsidR="00F330D1" w:rsidRPr="00F330D1" w:rsidTr="00B17B76">
        <w:trPr>
          <w:jc w:val="right"/>
        </w:trPr>
        <w:tc>
          <w:tcPr>
            <w:tcW w:w="1314" w:type="dxa"/>
            <w:shd w:val="clear" w:color="auto" w:fill="FFFF00"/>
          </w:tcPr>
          <w:p w:rsidR="00F330D1" w:rsidRPr="00F330D1" w:rsidRDefault="00F330D1" w:rsidP="006F32DB">
            <w:pPr>
              <w:pStyle w:val="Prrafodelista"/>
              <w:ind w:left="0"/>
              <w:jc w:val="center"/>
              <w:rPr>
                <w:sz w:val="18"/>
              </w:rPr>
            </w:pPr>
            <w:r w:rsidRPr="00F330D1">
              <w:rPr>
                <w:sz w:val="18"/>
              </w:rPr>
              <w:t>Satisfactorio</w:t>
            </w:r>
          </w:p>
        </w:tc>
        <w:tc>
          <w:tcPr>
            <w:tcW w:w="1347" w:type="dxa"/>
            <w:shd w:val="clear" w:color="auto" w:fill="FFFF00"/>
          </w:tcPr>
          <w:p w:rsidR="00F330D1" w:rsidRPr="00F330D1" w:rsidRDefault="00F330D1" w:rsidP="006F32DB">
            <w:pPr>
              <w:pStyle w:val="Prrafodelista"/>
              <w:ind w:left="0"/>
              <w:jc w:val="center"/>
              <w:rPr>
                <w:sz w:val="18"/>
              </w:rPr>
            </w:pPr>
            <w:r w:rsidRPr="00F330D1">
              <w:rPr>
                <w:sz w:val="18"/>
              </w:rPr>
              <w:t>Satisfactorio</w:t>
            </w:r>
          </w:p>
        </w:tc>
        <w:tc>
          <w:tcPr>
            <w:tcW w:w="1091" w:type="dxa"/>
            <w:shd w:val="clear" w:color="auto" w:fill="FFFF00"/>
          </w:tcPr>
          <w:p w:rsidR="00F330D1" w:rsidRPr="00F330D1" w:rsidRDefault="00F330D1" w:rsidP="006F32DB">
            <w:pPr>
              <w:pStyle w:val="Prrafodelista"/>
              <w:ind w:left="0"/>
              <w:jc w:val="center"/>
              <w:rPr>
                <w:sz w:val="18"/>
              </w:rPr>
            </w:pPr>
            <w:r w:rsidRPr="00F330D1">
              <w:rPr>
                <w:sz w:val="18"/>
              </w:rPr>
              <w:t>Satisfactorio</w:t>
            </w:r>
          </w:p>
        </w:tc>
        <w:tc>
          <w:tcPr>
            <w:tcW w:w="1402" w:type="dxa"/>
            <w:shd w:val="clear" w:color="auto" w:fill="00B050"/>
          </w:tcPr>
          <w:p w:rsidR="00F330D1" w:rsidRPr="00F330D1" w:rsidRDefault="00F330D1" w:rsidP="006F32DB">
            <w:pPr>
              <w:pStyle w:val="Prrafodelista"/>
              <w:ind w:left="0"/>
              <w:jc w:val="center"/>
              <w:rPr>
                <w:color w:val="FFFFFF" w:themeColor="background1"/>
                <w:sz w:val="18"/>
              </w:rPr>
            </w:pPr>
            <w:r w:rsidRPr="00F330D1">
              <w:rPr>
                <w:color w:val="FFFFFF" w:themeColor="background1"/>
                <w:sz w:val="18"/>
              </w:rPr>
              <w:t>Adecuado</w:t>
            </w:r>
          </w:p>
        </w:tc>
        <w:tc>
          <w:tcPr>
            <w:tcW w:w="1028" w:type="dxa"/>
            <w:shd w:val="clear" w:color="auto" w:fill="FFFF00"/>
          </w:tcPr>
          <w:p w:rsidR="00F330D1" w:rsidRPr="00F330D1" w:rsidRDefault="00F330D1" w:rsidP="006F32DB">
            <w:pPr>
              <w:pStyle w:val="Prrafodelista"/>
              <w:ind w:left="0"/>
              <w:jc w:val="center"/>
              <w:rPr>
                <w:sz w:val="18"/>
              </w:rPr>
            </w:pPr>
            <w:r>
              <w:rPr>
                <w:sz w:val="18"/>
              </w:rPr>
              <w:t>S</w:t>
            </w:r>
            <w:r w:rsidRPr="00F330D1">
              <w:rPr>
                <w:sz w:val="18"/>
              </w:rPr>
              <w:t>a</w:t>
            </w:r>
            <w:r>
              <w:rPr>
                <w:sz w:val="18"/>
              </w:rPr>
              <w:t>tisfactorio</w:t>
            </w:r>
          </w:p>
        </w:tc>
        <w:tc>
          <w:tcPr>
            <w:tcW w:w="1145" w:type="dxa"/>
            <w:shd w:val="clear" w:color="auto" w:fill="C00000"/>
          </w:tcPr>
          <w:p w:rsidR="00F330D1" w:rsidRPr="00F330D1" w:rsidRDefault="00F330D1" w:rsidP="006F32DB">
            <w:pPr>
              <w:pStyle w:val="Prrafodelista"/>
              <w:ind w:left="0"/>
              <w:jc w:val="center"/>
              <w:rPr>
                <w:sz w:val="18"/>
              </w:rPr>
            </w:pPr>
            <w:r>
              <w:rPr>
                <w:sz w:val="18"/>
              </w:rPr>
              <w:t>Deficiente</w:t>
            </w:r>
          </w:p>
        </w:tc>
      </w:tr>
    </w:tbl>
    <w:p w:rsidR="002E1772" w:rsidRDefault="002E1772" w:rsidP="00301648">
      <w:pPr>
        <w:pStyle w:val="Prrafodelista"/>
        <w:ind w:left="851"/>
        <w:jc w:val="both"/>
      </w:pPr>
    </w:p>
    <w:p w:rsidR="002E1772" w:rsidRPr="008A47CF" w:rsidRDefault="002E1772" w:rsidP="00301648">
      <w:pPr>
        <w:pStyle w:val="Prrafodelista"/>
        <w:ind w:left="851"/>
        <w:jc w:val="both"/>
      </w:pPr>
    </w:p>
    <w:p w:rsidR="00767DB5" w:rsidRPr="008A47CF" w:rsidRDefault="00767DB5" w:rsidP="00767DB5">
      <w:pPr>
        <w:pStyle w:val="Prrafodelista"/>
        <w:numPr>
          <w:ilvl w:val="0"/>
          <w:numId w:val="1"/>
        </w:numPr>
        <w:pBdr>
          <w:top w:val="single" w:sz="4" w:space="1" w:color="auto"/>
          <w:left w:val="single" w:sz="4" w:space="4" w:color="auto"/>
          <w:bottom w:val="single" w:sz="4" w:space="0" w:color="auto"/>
          <w:right w:val="single" w:sz="4" w:space="4" w:color="auto"/>
        </w:pBdr>
        <w:shd w:val="clear" w:color="auto" w:fill="92CDDC" w:themeFill="accent5" w:themeFillTint="99"/>
        <w:jc w:val="center"/>
        <w:rPr>
          <w:b/>
        </w:rPr>
      </w:pPr>
      <w:r w:rsidRPr="008A47CF">
        <w:rPr>
          <w:b/>
        </w:rPr>
        <w:t xml:space="preserve">ASPECTOS </w:t>
      </w:r>
      <w:r w:rsidR="006823EF">
        <w:rPr>
          <w:b/>
        </w:rPr>
        <w:t>RELEVANTES</w:t>
      </w:r>
    </w:p>
    <w:p w:rsidR="00767DB5" w:rsidRDefault="00767DB5" w:rsidP="00301648">
      <w:pPr>
        <w:pStyle w:val="Prrafodelista"/>
        <w:ind w:left="851"/>
        <w:jc w:val="both"/>
      </w:pPr>
    </w:p>
    <w:p w:rsidR="006823EF" w:rsidRDefault="006823EF" w:rsidP="006823EF">
      <w:pPr>
        <w:pStyle w:val="Prrafodelista"/>
        <w:numPr>
          <w:ilvl w:val="0"/>
          <w:numId w:val="2"/>
        </w:numPr>
        <w:ind w:left="567" w:hanging="567"/>
        <w:rPr>
          <w:b/>
          <w:color w:val="215868" w:themeColor="accent5" w:themeShade="80"/>
        </w:rPr>
      </w:pPr>
      <w:r>
        <w:rPr>
          <w:b/>
          <w:color w:val="215868" w:themeColor="accent5" w:themeShade="80"/>
        </w:rPr>
        <w:t>Fortalezas</w:t>
      </w:r>
    </w:p>
    <w:p w:rsidR="006823EF" w:rsidRDefault="006823EF" w:rsidP="0038019E">
      <w:pPr>
        <w:pStyle w:val="Prrafodelista"/>
        <w:numPr>
          <w:ilvl w:val="0"/>
          <w:numId w:val="18"/>
        </w:numPr>
        <w:jc w:val="both"/>
      </w:pPr>
      <w:r>
        <w:t>Alto nivel de ejecución presupuestal; en inversión 99.59% y en funcionamiento 94.79%, para una ejecución general del 96,65%.</w:t>
      </w:r>
    </w:p>
    <w:p w:rsidR="006823EF" w:rsidRDefault="006823EF" w:rsidP="0038019E">
      <w:pPr>
        <w:pStyle w:val="Prrafodelista"/>
        <w:numPr>
          <w:ilvl w:val="0"/>
          <w:numId w:val="18"/>
        </w:numPr>
        <w:jc w:val="both"/>
      </w:pPr>
      <w:r>
        <w:t xml:space="preserve">Despliegue de acciones que permiten mantener una activa comunicación con la ciudadanía, como son: </w:t>
      </w:r>
      <w:proofErr w:type="spellStart"/>
      <w:r>
        <w:t>Hangouts</w:t>
      </w:r>
      <w:proofErr w:type="spellEnd"/>
      <w:r>
        <w:t>, transmisión de eventos en vivo y captura de información para conocer la percepción sobre los servicios que se prestan.</w:t>
      </w:r>
    </w:p>
    <w:p w:rsidR="006823EF" w:rsidRDefault="006823EF" w:rsidP="0038019E">
      <w:pPr>
        <w:pStyle w:val="Prrafodelista"/>
        <w:numPr>
          <w:ilvl w:val="0"/>
          <w:numId w:val="18"/>
        </w:numPr>
        <w:jc w:val="both"/>
      </w:pPr>
      <w:r>
        <w:t>Avance significativo en la oferta de servicios académicos a través del registro calificado de nuevos programas de maestría.</w:t>
      </w:r>
    </w:p>
    <w:p w:rsidR="006823EF" w:rsidRDefault="006823EF" w:rsidP="0038019E">
      <w:pPr>
        <w:pStyle w:val="Prrafodelista"/>
        <w:numPr>
          <w:ilvl w:val="0"/>
          <w:numId w:val="18"/>
        </w:numPr>
        <w:jc w:val="both"/>
      </w:pPr>
      <w:r>
        <w:t>Continuidad en la oferta de servicios electrónicos como son acceso a bases de datos y revistas electrónicas, para los usuarios del Instituto y algunas que son abiertas al público en general.</w:t>
      </w:r>
    </w:p>
    <w:p w:rsidR="006823EF" w:rsidRDefault="006823EF" w:rsidP="006823EF">
      <w:pPr>
        <w:pStyle w:val="Prrafodelista"/>
        <w:ind w:left="567"/>
        <w:rPr>
          <w:b/>
          <w:color w:val="215868" w:themeColor="accent5" w:themeShade="80"/>
        </w:rPr>
      </w:pPr>
    </w:p>
    <w:p w:rsidR="00EB37F9" w:rsidRDefault="00EB37F9" w:rsidP="006823EF">
      <w:pPr>
        <w:pStyle w:val="Prrafodelista"/>
        <w:ind w:left="567"/>
        <w:rPr>
          <w:b/>
          <w:color w:val="215868" w:themeColor="accent5" w:themeShade="80"/>
        </w:rPr>
      </w:pPr>
    </w:p>
    <w:p w:rsidR="00434402" w:rsidRDefault="00434402" w:rsidP="006823EF">
      <w:pPr>
        <w:pStyle w:val="Prrafodelista"/>
        <w:ind w:left="567"/>
        <w:rPr>
          <w:b/>
          <w:color w:val="215868" w:themeColor="accent5" w:themeShade="80"/>
        </w:rPr>
      </w:pPr>
    </w:p>
    <w:p w:rsidR="006823EF" w:rsidRDefault="006823EF" w:rsidP="006823EF">
      <w:pPr>
        <w:pStyle w:val="Prrafodelista"/>
        <w:numPr>
          <w:ilvl w:val="0"/>
          <w:numId w:val="2"/>
        </w:numPr>
        <w:ind w:left="567" w:hanging="567"/>
        <w:rPr>
          <w:b/>
          <w:color w:val="215868" w:themeColor="accent5" w:themeShade="80"/>
        </w:rPr>
      </w:pPr>
      <w:r>
        <w:rPr>
          <w:b/>
          <w:color w:val="215868" w:themeColor="accent5" w:themeShade="80"/>
        </w:rPr>
        <w:lastRenderedPageBreak/>
        <w:t>Debilidades</w:t>
      </w:r>
    </w:p>
    <w:p w:rsidR="006823EF" w:rsidRDefault="006823EF" w:rsidP="0038019E">
      <w:pPr>
        <w:pStyle w:val="Prrafodelista"/>
        <w:numPr>
          <w:ilvl w:val="0"/>
          <w:numId w:val="19"/>
        </w:numPr>
        <w:jc w:val="both"/>
      </w:pPr>
      <w:r>
        <w:t>Comité de Coordinación de Control Interno que no sesiona periódicamente.</w:t>
      </w:r>
    </w:p>
    <w:p w:rsidR="006823EF" w:rsidRDefault="006823EF" w:rsidP="0038019E">
      <w:pPr>
        <w:pStyle w:val="Prrafodelista"/>
        <w:numPr>
          <w:ilvl w:val="0"/>
          <w:numId w:val="19"/>
        </w:numPr>
        <w:jc w:val="both"/>
      </w:pPr>
      <w:r>
        <w:t>Falta de funcionamiento del equipo operativo MECI.</w:t>
      </w:r>
    </w:p>
    <w:p w:rsidR="006823EF" w:rsidRDefault="006823EF" w:rsidP="0038019E">
      <w:pPr>
        <w:pStyle w:val="Prrafodelista"/>
        <w:numPr>
          <w:ilvl w:val="0"/>
          <w:numId w:val="19"/>
        </w:numPr>
        <w:jc w:val="both"/>
      </w:pPr>
      <w:r>
        <w:t>La revisión por la dirección del Sistema de Gestión de la Calidad, no se ha realizado.</w:t>
      </w:r>
    </w:p>
    <w:p w:rsidR="006823EF" w:rsidRDefault="006823EF" w:rsidP="0038019E">
      <w:pPr>
        <w:pStyle w:val="Prrafodelista"/>
        <w:numPr>
          <w:ilvl w:val="0"/>
          <w:numId w:val="19"/>
        </w:numPr>
        <w:jc w:val="both"/>
      </w:pPr>
      <w:r>
        <w:t>Deficiencias en la autoevaluación institucional, debido a que los líderes de los procesos no han apropiado del principio de autocontrol.</w:t>
      </w:r>
    </w:p>
    <w:p w:rsidR="006823EF" w:rsidRDefault="006823EF" w:rsidP="0038019E">
      <w:pPr>
        <w:pStyle w:val="Prrafodelista"/>
        <w:numPr>
          <w:ilvl w:val="0"/>
          <w:numId w:val="19"/>
        </w:numPr>
        <w:jc w:val="both"/>
      </w:pPr>
      <w:r>
        <w:t>Existen planes de mejoramiento (acciones correctivas o preventivas), que tienen como fuente las auditorias o la administración de riesgos, pero se carece de planes por parte de la autoevaluación institucional.</w:t>
      </w:r>
    </w:p>
    <w:p w:rsidR="006823EF" w:rsidRDefault="006823EF" w:rsidP="0038019E">
      <w:pPr>
        <w:pStyle w:val="Prrafodelista"/>
        <w:numPr>
          <w:ilvl w:val="0"/>
          <w:numId w:val="19"/>
        </w:numPr>
        <w:jc w:val="both"/>
      </w:pPr>
      <w:r>
        <w:t>Falta de cobertura de  auditoría a todos los procesos del Sistema de Gestión de la Calidad, debido a que no se ha conformado el equipo de auditores de la calidad.</w:t>
      </w:r>
    </w:p>
    <w:p w:rsidR="006823EF" w:rsidRDefault="006823EF" w:rsidP="0038019E">
      <w:pPr>
        <w:pStyle w:val="Prrafodelista"/>
        <w:numPr>
          <w:ilvl w:val="0"/>
          <w:numId w:val="19"/>
        </w:numPr>
        <w:jc w:val="both"/>
      </w:pPr>
      <w:r>
        <w:t>La definición de indicadores, no permite medir la eficiencia de los procesos y la efectividad del sistema.</w:t>
      </w:r>
    </w:p>
    <w:p w:rsidR="006823EF" w:rsidRDefault="006823EF" w:rsidP="0038019E">
      <w:pPr>
        <w:pStyle w:val="Prrafodelista"/>
        <w:numPr>
          <w:ilvl w:val="0"/>
          <w:numId w:val="19"/>
        </w:numPr>
        <w:jc w:val="both"/>
      </w:pPr>
      <w:r>
        <w:t xml:space="preserve">La gestión documental y de inventarios del Instituto presenta deficiencias debido a rezagos de vigencias anteriores. </w:t>
      </w:r>
    </w:p>
    <w:p w:rsidR="006823EF" w:rsidRDefault="006823EF" w:rsidP="006823EF">
      <w:pPr>
        <w:pStyle w:val="Prrafodelista"/>
        <w:ind w:left="567"/>
        <w:rPr>
          <w:b/>
          <w:color w:val="215868" w:themeColor="accent5" w:themeShade="80"/>
        </w:rPr>
      </w:pPr>
    </w:p>
    <w:p w:rsidR="006823EF" w:rsidRPr="006823EF" w:rsidRDefault="006823EF" w:rsidP="006823EF">
      <w:pPr>
        <w:pStyle w:val="Prrafodelista"/>
        <w:numPr>
          <w:ilvl w:val="0"/>
          <w:numId w:val="2"/>
        </w:numPr>
        <w:ind w:left="567" w:hanging="567"/>
        <w:rPr>
          <w:b/>
          <w:color w:val="215868" w:themeColor="accent5" w:themeShade="80"/>
        </w:rPr>
      </w:pPr>
      <w:r w:rsidRPr="006823EF">
        <w:rPr>
          <w:b/>
          <w:color w:val="215868" w:themeColor="accent5" w:themeShade="80"/>
        </w:rPr>
        <w:t>Recomendaciones y sugerencias</w:t>
      </w:r>
    </w:p>
    <w:p w:rsidR="0038019E" w:rsidRDefault="0038019E" w:rsidP="0038019E">
      <w:pPr>
        <w:pStyle w:val="Prrafodelista"/>
        <w:numPr>
          <w:ilvl w:val="0"/>
          <w:numId w:val="20"/>
        </w:numPr>
        <w:jc w:val="both"/>
      </w:pPr>
      <w:r>
        <w:t>Hacer exigible el funcionamiento de comités y equipos de trabajo, de acuerdo con las funciones establecidas para estos.</w:t>
      </w:r>
    </w:p>
    <w:p w:rsidR="0038019E" w:rsidRDefault="0038019E" w:rsidP="0038019E">
      <w:pPr>
        <w:pStyle w:val="Prrafodelista"/>
        <w:numPr>
          <w:ilvl w:val="0"/>
          <w:numId w:val="20"/>
        </w:numPr>
        <w:jc w:val="both"/>
      </w:pPr>
      <w:r>
        <w:t>Realizar el seguimiento a los mínimos de información necesarios para la revisión del Sistema de Gestión de la Calidad.</w:t>
      </w:r>
    </w:p>
    <w:p w:rsidR="0038019E" w:rsidRDefault="0038019E" w:rsidP="0038019E">
      <w:pPr>
        <w:pStyle w:val="Prrafodelista"/>
        <w:numPr>
          <w:ilvl w:val="0"/>
          <w:numId w:val="20"/>
        </w:numPr>
        <w:jc w:val="both"/>
      </w:pPr>
      <w:r>
        <w:t>Actualizar el marco legal de la entidad.</w:t>
      </w:r>
    </w:p>
    <w:p w:rsidR="0038019E" w:rsidRDefault="0038019E" w:rsidP="0038019E">
      <w:pPr>
        <w:pStyle w:val="Prrafodelista"/>
        <w:numPr>
          <w:ilvl w:val="0"/>
          <w:numId w:val="20"/>
        </w:numPr>
        <w:jc w:val="both"/>
      </w:pPr>
      <w:r w:rsidRPr="00623DBB">
        <w:t>Impulsar l</w:t>
      </w:r>
      <w:r>
        <w:t xml:space="preserve">a planeación como </w:t>
      </w:r>
      <w:r w:rsidR="00434402">
        <w:t>un</w:t>
      </w:r>
      <w:r>
        <w:t xml:space="preserve"> hábito primordial en la gestión por procesos.</w:t>
      </w:r>
    </w:p>
    <w:p w:rsidR="0038019E" w:rsidRDefault="0038019E" w:rsidP="0038019E">
      <w:pPr>
        <w:pStyle w:val="Prrafodelista"/>
        <w:numPr>
          <w:ilvl w:val="0"/>
          <w:numId w:val="20"/>
        </w:numPr>
        <w:jc w:val="both"/>
      </w:pPr>
      <w:r>
        <w:t>Implementar controles que permitan conocer el estado de implementación del sistema integrado de gestión de manera permanente.</w:t>
      </w:r>
    </w:p>
    <w:p w:rsidR="0038019E" w:rsidRDefault="0038019E" w:rsidP="0038019E">
      <w:pPr>
        <w:pStyle w:val="Prrafodelista"/>
        <w:numPr>
          <w:ilvl w:val="0"/>
          <w:numId w:val="20"/>
        </w:numPr>
        <w:jc w:val="both"/>
      </w:pPr>
      <w:r>
        <w:t xml:space="preserve">Hacer exigible la elaboración de planes de mejoramiento frente a la </w:t>
      </w:r>
      <w:r w:rsidR="00434402">
        <w:t>autoevaluación</w:t>
      </w:r>
      <w:r>
        <w:t xml:space="preserve"> de los procesos.</w:t>
      </w:r>
    </w:p>
    <w:p w:rsidR="0038019E" w:rsidRDefault="0038019E" w:rsidP="0038019E">
      <w:pPr>
        <w:pStyle w:val="Prrafodelista"/>
        <w:numPr>
          <w:ilvl w:val="0"/>
          <w:numId w:val="20"/>
        </w:numPr>
        <w:jc w:val="both"/>
      </w:pPr>
      <w:r>
        <w:t xml:space="preserve">Conformar equipo de auditores de la calidad, con la participación de todos los procesos del </w:t>
      </w:r>
      <w:r w:rsidR="00434402">
        <w:t>Instituto</w:t>
      </w:r>
      <w:r>
        <w:t>.</w:t>
      </w:r>
    </w:p>
    <w:p w:rsidR="0038019E" w:rsidRDefault="0038019E" w:rsidP="0038019E">
      <w:pPr>
        <w:pStyle w:val="Prrafodelista"/>
        <w:numPr>
          <w:ilvl w:val="0"/>
          <w:numId w:val="20"/>
        </w:numPr>
        <w:jc w:val="both"/>
      </w:pPr>
      <w:r>
        <w:t>Revisar y ajustar los indicadores institucionales para que a través  de su medición se pueda determinar el grado de eficiencia y efectividad de los procesos y sistemas respectivamente.</w:t>
      </w:r>
    </w:p>
    <w:p w:rsidR="0038019E" w:rsidRPr="00623DBB" w:rsidRDefault="0038019E" w:rsidP="0038019E">
      <w:pPr>
        <w:pStyle w:val="Prrafodelista"/>
        <w:numPr>
          <w:ilvl w:val="0"/>
          <w:numId w:val="20"/>
        </w:numPr>
        <w:jc w:val="both"/>
      </w:pPr>
      <w:r>
        <w:t>Fortalecer los sistemas de información para impulsar el desarrollo de los procesos de gestión documental y gestión de inventarios.</w:t>
      </w:r>
    </w:p>
    <w:p w:rsidR="006823EF" w:rsidRDefault="006823EF" w:rsidP="006823EF"/>
    <w:p w:rsidR="006823EF" w:rsidRPr="008A47CF" w:rsidRDefault="006823EF" w:rsidP="006823EF">
      <w:pPr>
        <w:jc w:val="both"/>
      </w:pPr>
    </w:p>
    <w:sectPr w:rsidR="006823EF" w:rsidRPr="008A47CF" w:rsidSect="002D1062">
      <w:pgSz w:w="12240" w:h="15840"/>
      <w:pgMar w:top="1417" w:right="1701" w:bottom="1417" w:left="1701"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86025"/>
    <w:multiLevelType w:val="hybridMultilevel"/>
    <w:tmpl w:val="AA40D5CC"/>
    <w:lvl w:ilvl="0" w:tplc="E1A06538">
      <w:start w:val="97"/>
      <w:numFmt w:val="bullet"/>
      <w:lvlText w:val="-"/>
      <w:lvlJc w:val="left"/>
      <w:pPr>
        <w:ind w:left="1211" w:hanging="360"/>
      </w:pPr>
      <w:rPr>
        <w:rFonts w:ascii="Calibri" w:eastAsiaTheme="minorHAnsi" w:hAnsi="Calibri" w:cstheme="minorBidi" w:hint="default"/>
      </w:rPr>
    </w:lvl>
    <w:lvl w:ilvl="1" w:tplc="240A0003" w:tentative="1">
      <w:start w:val="1"/>
      <w:numFmt w:val="bullet"/>
      <w:lvlText w:val="o"/>
      <w:lvlJc w:val="left"/>
      <w:pPr>
        <w:ind w:left="1931" w:hanging="360"/>
      </w:pPr>
      <w:rPr>
        <w:rFonts w:ascii="Courier New" w:hAnsi="Courier New" w:cs="Courier New" w:hint="default"/>
      </w:rPr>
    </w:lvl>
    <w:lvl w:ilvl="2" w:tplc="240A0005" w:tentative="1">
      <w:start w:val="1"/>
      <w:numFmt w:val="bullet"/>
      <w:lvlText w:val=""/>
      <w:lvlJc w:val="left"/>
      <w:pPr>
        <w:ind w:left="2651" w:hanging="360"/>
      </w:pPr>
      <w:rPr>
        <w:rFonts w:ascii="Wingdings" w:hAnsi="Wingdings" w:hint="default"/>
      </w:rPr>
    </w:lvl>
    <w:lvl w:ilvl="3" w:tplc="240A0001" w:tentative="1">
      <w:start w:val="1"/>
      <w:numFmt w:val="bullet"/>
      <w:lvlText w:val=""/>
      <w:lvlJc w:val="left"/>
      <w:pPr>
        <w:ind w:left="3371" w:hanging="360"/>
      </w:pPr>
      <w:rPr>
        <w:rFonts w:ascii="Symbol" w:hAnsi="Symbol" w:hint="default"/>
      </w:rPr>
    </w:lvl>
    <w:lvl w:ilvl="4" w:tplc="240A0003" w:tentative="1">
      <w:start w:val="1"/>
      <w:numFmt w:val="bullet"/>
      <w:lvlText w:val="o"/>
      <w:lvlJc w:val="left"/>
      <w:pPr>
        <w:ind w:left="4091" w:hanging="360"/>
      </w:pPr>
      <w:rPr>
        <w:rFonts w:ascii="Courier New" w:hAnsi="Courier New" w:cs="Courier New" w:hint="default"/>
      </w:rPr>
    </w:lvl>
    <w:lvl w:ilvl="5" w:tplc="240A0005" w:tentative="1">
      <w:start w:val="1"/>
      <w:numFmt w:val="bullet"/>
      <w:lvlText w:val=""/>
      <w:lvlJc w:val="left"/>
      <w:pPr>
        <w:ind w:left="4811" w:hanging="360"/>
      </w:pPr>
      <w:rPr>
        <w:rFonts w:ascii="Wingdings" w:hAnsi="Wingdings" w:hint="default"/>
      </w:rPr>
    </w:lvl>
    <w:lvl w:ilvl="6" w:tplc="240A0001" w:tentative="1">
      <w:start w:val="1"/>
      <w:numFmt w:val="bullet"/>
      <w:lvlText w:val=""/>
      <w:lvlJc w:val="left"/>
      <w:pPr>
        <w:ind w:left="5531" w:hanging="360"/>
      </w:pPr>
      <w:rPr>
        <w:rFonts w:ascii="Symbol" w:hAnsi="Symbol" w:hint="default"/>
      </w:rPr>
    </w:lvl>
    <w:lvl w:ilvl="7" w:tplc="240A0003" w:tentative="1">
      <w:start w:val="1"/>
      <w:numFmt w:val="bullet"/>
      <w:lvlText w:val="o"/>
      <w:lvlJc w:val="left"/>
      <w:pPr>
        <w:ind w:left="6251" w:hanging="360"/>
      </w:pPr>
      <w:rPr>
        <w:rFonts w:ascii="Courier New" w:hAnsi="Courier New" w:cs="Courier New" w:hint="default"/>
      </w:rPr>
    </w:lvl>
    <w:lvl w:ilvl="8" w:tplc="240A0005" w:tentative="1">
      <w:start w:val="1"/>
      <w:numFmt w:val="bullet"/>
      <w:lvlText w:val=""/>
      <w:lvlJc w:val="left"/>
      <w:pPr>
        <w:ind w:left="6971" w:hanging="360"/>
      </w:pPr>
      <w:rPr>
        <w:rFonts w:ascii="Wingdings" w:hAnsi="Wingdings" w:hint="default"/>
      </w:rPr>
    </w:lvl>
  </w:abstractNum>
  <w:abstractNum w:abstractNumId="1">
    <w:nsid w:val="061F043B"/>
    <w:multiLevelType w:val="hybridMultilevel"/>
    <w:tmpl w:val="0E7AA4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A587402"/>
    <w:multiLevelType w:val="multilevel"/>
    <w:tmpl w:val="F93AB5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C294398"/>
    <w:multiLevelType w:val="hybridMultilevel"/>
    <w:tmpl w:val="E40890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D9E0F34"/>
    <w:multiLevelType w:val="hybridMultilevel"/>
    <w:tmpl w:val="EB34B3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79D0614"/>
    <w:multiLevelType w:val="hybridMultilevel"/>
    <w:tmpl w:val="A81CA764"/>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nsid w:val="1C0513D3"/>
    <w:multiLevelType w:val="hybridMultilevel"/>
    <w:tmpl w:val="684CC546"/>
    <w:lvl w:ilvl="0" w:tplc="0E86759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EAF600E"/>
    <w:multiLevelType w:val="hybridMultilevel"/>
    <w:tmpl w:val="80C0BFC4"/>
    <w:lvl w:ilvl="0" w:tplc="24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1AA29A2"/>
    <w:multiLevelType w:val="multilevel"/>
    <w:tmpl w:val="C0FAD5BA"/>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1E16D9C"/>
    <w:multiLevelType w:val="hybridMultilevel"/>
    <w:tmpl w:val="6E48480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620450B"/>
    <w:multiLevelType w:val="hybridMultilevel"/>
    <w:tmpl w:val="9B6AA2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AF70030"/>
    <w:multiLevelType w:val="hybridMultilevel"/>
    <w:tmpl w:val="CEC6FD16"/>
    <w:lvl w:ilvl="0" w:tplc="24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5583C1A"/>
    <w:multiLevelType w:val="hybridMultilevel"/>
    <w:tmpl w:val="FBE2A21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57E6209"/>
    <w:multiLevelType w:val="hybridMultilevel"/>
    <w:tmpl w:val="8EBAE0F8"/>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nsid w:val="3C780B00"/>
    <w:multiLevelType w:val="hybridMultilevel"/>
    <w:tmpl w:val="A1EA232A"/>
    <w:lvl w:ilvl="0" w:tplc="240A000F">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4D8E75A3"/>
    <w:multiLevelType w:val="hybridMultilevel"/>
    <w:tmpl w:val="83748374"/>
    <w:lvl w:ilvl="0" w:tplc="240A000B">
      <w:start w:val="1"/>
      <w:numFmt w:val="bullet"/>
      <w:lvlText w:val=""/>
      <w:lvlJc w:val="left"/>
      <w:pPr>
        <w:ind w:left="1800" w:hanging="360"/>
      </w:pPr>
      <w:rPr>
        <w:rFonts w:ascii="Wingdings" w:hAnsi="Wingdings"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6">
    <w:nsid w:val="57423A80"/>
    <w:multiLevelType w:val="hybridMultilevel"/>
    <w:tmpl w:val="5290F328"/>
    <w:lvl w:ilvl="0" w:tplc="D55CC71E">
      <w:start w:val="97"/>
      <w:numFmt w:val="bullet"/>
      <w:lvlText w:val="-"/>
      <w:lvlJc w:val="left"/>
      <w:pPr>
        <w:ind w:left="1068" w:hanging="360"/>
      </w:pPr>
      <w:rPr>
        <w:rFonts w:ascii="Calibri" w:eastAsiaTheme="minorHAnsi" w:hAnsi="Calibri"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7">
    <w:nsid w:val="5BC01099"/>
    <w:multiLevelType w:val="hybridMultilevel"/>
    <w:tmpl w:val="E69214E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nsid w:val="5C9623F6"/>
    <w:multiLevelType w:val="hybridMultilevel"/>
    <w:tmpl w:val="9A680CC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492086E"/>
    <w:multiLevelType w:val="hybridMultilevel"/>
    <w:tmpl w:val="110AF82E"/>
    <w:lvl w:ilvl="0" w:tplc="240A000B">
      <w:start w:val="1"/>
      <w:numFmt w:val="bullet"/>
      <w:lvlText w:val=""/>
      <w:lvlJc w:val="left"/>
      <w:pPr>
        <w:ind w:left="770" w:hanging="360"/>
      </w:pPr>
      <w:rPr>
        <w:rFonts w:ascii="Wingdings" w:hAnsi="Wingdings"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6"/>
  </w:num>
  <w:num w:numId="2">
    <w:abstractNumId w:val="2"/>
  </w:num>
  <w:num w:numId="3">
    <w:abstractNumId w:val="14"/>
  </w:num>
  <w:num w:numId="4">
    <w:abstractNumId w:val="10"/>
  </w:num>
  <w:num w:numId="5">
    <w:abstractNumId w:val="17"/>
  </w:num>
  <w:num w:numId="6">
    <w:abstractNumId w:val="5"/>
  </w:num>
  <w:num w:numId="7">
    <w:abstractNumId w:val="0"/>
  </w:num>
  <w:num w:numId="8">
    <w:abstractNumId w:val="16"/>
  </w:num>
  <w:num w:numId="9">
    <w:abstractNumId w:val="13"/>
  </w:num>
  <w:num w:numId="10">
    <w:abstractNumId w:val="19"/>
  </w:num>
  <w:num w:numId="11">
    <w:abstractNumId w:val="9"/>
  </w:num>
  <w:num w:numId="12">
    <w:abstractNumId w:val="15"/>
  </w:num>
  <w:num w:numId="13">
    <w:abstractNumId w:val="18"/>
  </w:num>
  <w:num w:numId="14">
    <w:abstractNumId w:val="4"/>
  </w:num>
  <w:num w:numId="15">
    <w:abstractNumId w:val="3"/>
  </w:num>
  <w:num w:numId="16">
    <w:abstractNumId w:val="12"/>
  </w:num>
  <w:num w:numId="17">
    <w:abstractNumId w:val="1"/>
  </w:num>
  <w:num w:numId="18">
    <w:abstractNumId w:val="11"/>
  </w:num>
  <w:num w:numId="19">
    <w:abstractNumId w:val="7"/>
  </w:num>
  <w:num w:numId="2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08"/>
  <w:hyphenationZone w:val="425"/>
  <w:drawingGridHorizontalSpacing w:val="110"/>
  <w:displayHorizontalDrawingGridEvery w:val="2"/>
  <w:characterSpacingControl w:val="doNotCompress"/>
  <w:compat/>
  <w:rsids>
    <w:rsidRoot w:val="002D1062"/>
    <w:rsid w:val="00004B64"/>
    <w:rsid w:val="00016010"/>
    <w:rsid w:val="00020C29"/>
    <w:rsid w:val="000232B4"/>
    <w:rsid w:val="0003639D"/>
    <w:rsid w:val="000438E0"/>
    <w:rsid w:val="00043D20"/>
    <w:rsid w:val="000445A0"/>
    <w:rsid w:val="0005125D"/>
    <w:rsid w:val="0008370E"/>
    <w:rsid w:val="000904D7"/>
    <w:rsid w:val="000C6756"/>
    <w:rsid w:val="000D5783"/>
    <w:rsid w:val="000F7A9F"/>
    <w:rsid w:val="00104EA9"/>
    <w:rsid w:val="001167AD"/>
    <w:rsid w:val="00121314"/>
    <w:rsid w:val="0012196F"/>
    <w:rsid w:val="001340C0"/>
    <w:rsid w:val="00144905"/>
    <w:rsid w:val="001459C9"/>
    <w:rsid w:val="001465E8"/>
    <w:rsid w:val="00152395"/>
    <w:rsid w:val="001615AD"/>
    <w:rsid w:val="00163E0B"/>
    <w:rsid w:val="00196880"/>
    <w:rsid w:val="001A2708"/>
    <w:rsid w:val="001E606B"/>
    <w:rsid w:val="00205403"/>
    <w:rsid w:val="00205A56"/>
    <w:rsid w:val="00213C34"/>
    <w:rsid w:val="0021715A"/>
    <w:rsid w:val="00220EBB"/>
    <w:rsid w:val="00223E0B"/>
    <w:rsid w:val="00225DDC"/>
    <w:rsid w:val="00231202"/>
    <w:rsid w:val="00237FE0"/>
    <w:rsid w:val="00260223"/>
    <w:rsid w:val="00277078"/>
    <w:rsid w:val="00280BCB"/>
    <w:rsid w:val="0029730F"/>
    <w:rsid w:val="002A1251"/>
    <w:rsid w:val="002A3D49"/>
    <w:rsid w:val="002A7516"/>
    <w:rsid w:val="002C02A1"/>
    <w:rsid w:val="002D1062"/>
    <w:rsid w:val="002D4D7C"/>
    <w:rsid w:val="002E1772"/>
    <w:rsid w:val="002F1CE9"/>
    <w:rsid w:val="002F5D60"/>
    <w:rsid w:val="002F7B3A"/>
    <w:rsid w:val="00300F64"/>
    <w:rsid w:val="00301648"/>
    <w:rsid w:val="0030229B"/>
    <w:rsid w:val="003115D9"/>
    <w:rsid w:val="00317EFD"/>
    <w:rsid w:val="00320E81"/>
    <w:rsid w:val="00330726"/>
    <w:rsid w:val="00343724"/>
    <w:rsid w:val="0034580D"/>
    <w:rsid w:val="00350BD6"/>
    <w:rsid w:val="00361143"/>
    <w:rsid w:val="00372906"/>
    <w:rsid w:val="00373406"/>
    <w:rsid w:val="00375C5C"/>
    <w:rsid w:val="0038019E"/>
    <w:rsid w:val="003829DE"/>
    <w:rsid w:val="00384FA6"/>
    <w:rsid w:val="003A78EB"/>
    <w:rsid w:val="003C329E"/>
    <w:rsid w:val="003C4DDC"/>
    <w:rsid w:val="003D2E2B"/>
    <w:rsid w:val="003D4041"/>
    <w:rsid w:val="003D4EC2"/>
    <w:rsid w:val="003D6277"/>
    <w:rsid w:val="003E24A0"/>
    <w:rsid w:val="003F7304"/>
    <w:rsid w:val="00401B17"/>
    <w:rsid w:val="00403829"/>
    <w:rsid w:val="00407C55"/>
    <w:rsid w:val="00416121"/>
    <w:rsid w:val="00434402"/>
    <w:rsid w:val="00446B72"/>
    <w:rsid w:val="004768F1"/>
    <w:rsid w:val="004927CA"/>
    <w:rsid w:val="004A306C"/>
    <w:rsid w:val="004A6D04"/>
    <w:rsid w:val="004A7FD0"/>
    <w:rsid w:val="004C2006"/>
    <w:rsid w:val="004C7536"/>
    <w:rsid w:val="00512B42"/>
    <w:rsid w:val="00513D10"/>
    <w:rsid w:val="00521BD8"/>
    <w:rsid w:val="00522FD2"/>
    <w:rsid w:val="00533411"/>
    <w:rsid w:val="00542CE3"/>
    <w:rsid w:val="005434BA"/>
    <w:rsid w:val="00550F74"/>
    <w:rsid w:val="00553E8D"/>
    <w:rsid w:val="005A5A09"/>
    <w:rsid w:val="005A7824"/>
    <w:rsid w:val="005B700A"/>
    <w:rsid w:val="005B7F8A"/>
    <w:rsid w:val="005C658A"/>
    <w:rsid w:val="005C6C79"/>
    <w:rsid w:val="005D23B9"/>
    <w:rsid w:val="00602879"/>
    <w:rsid w:val="006050A8"/>
    <w:rsid w:val="00607C87"/>
    <w:rsid w:val="00607F41"/>
    <w:rsid w:val="00615D95"/>
    <w:rsid w:val="006204BF"/>
    <w:rsid w:val="0064318E"/>
    <w:rsid w:val="00661DEB"/>
    <w:rsid w:val="00674A78"/>
    <w:rsid w:val="006823EF"/>
    <w:rsid w:val="006A56AE"/>
    <w:rsid w:val="006C4AA6"/>
    <w:rsid w:val="006D6F3D"/>
    <w:rsid w:val="006E0AC1"/>
    <w:rsid w:val="006E5265"/>
    <w:rsid w:val="006E7A5D"/>
    <w:rsid w:val="006F2437"/>
    <w:rsid w:val="006F2570"/>
    <w:rsid w:val="006F32DB"/>
    <w:rsid w:val="006F574A"/>
    <w:rsid w:val="00733832"/>
    <w:rsid w:val="0073679C"/>
    <w:rsid w:val="00746C2E"/>
    <w:rsid w:val="00752F30"/>
    <w:rsid w:val="00767DB5"/>
    <w:rsid w:val="00770395"/>
    <w:rsid w:val="0077363F"/>
    <w:rsid w:val="007900CA"/>
    <w:rsid w:val="007B3CAF"/>
    <w:rsid w:val="007C5C05"/>
    <w:rsid w:val="007D7135"/>
    <w:rsid w:val="007F0224"/>
    <w:rsid w:val="0081101B"/>
    <w:rsid w:val="00817236"/>
    <w:rsid w:val="00833736"/>
    <w:rsid w:val="00833C21"/>
    <w:rsid w:val="008348E0"/>
    <w:rsid w:val="00856BCC"/>
    <w:rsid w:val="00856C11"/>
    <w:rsid w:val="00880A6D"/>
    <w:rsid w:val="00891EE4"/>
    <w:rsid w:val="00897578"/>
    <w:rsid w:val="00897FB6"/>
    <w:rsid w:val="008A47CF"/>
    <w:rsid w:val="008B4CD3"/>
    <w:rsid w:val="008D5FCA"/>
    <w:rsid w:val="008E27C5"/>
    <w:rsid w:val="008E2CB7"/>
    <w:rsid w:val="008F3725"/>
    <w:rsid w:val="00901CC4"/>
    <w:rsid w:val="00934875"/>
    <w:rsid w:val="00956441"/>
    <w:rsid w:val="00957F13"/>
    <w:rsid w:val="00963F2C"/>
    <w:rsid w:val="00980616"/>
    <w:rsid w:val="00981274"/>
    <w:rsid w:val="0098455E"/>
    <w:rsid w:val="009A3BBA"/>
    <w:rsid w:val="009A4BA6"/>
    <w:rsid w:val="009A6637"/>
    <w:rsid w:val="009B5441"/>
    <w:rsid w:val="009C101F"/>
    <w:rsid w:val="009C5220"/>
    <w:rsid w:val="009D4DFD"/>
    <w:rsid w:val="009E1B85"/>
    <w:rsid w:val="00A105E6"/>
    <w:rsid w:val="00A10D97"/>
    <w:rsid w:val="00A662F4"/>
    <w:rsid w:val="00A970E1"/>
    <w:rsid w:val="00AA11AA"/>
    <w:rsid w:val="00AC24F2"/>
    <w:rsid w:val="00AC43D9"/>
    <w:rsid w:val="00AD2C97"/>
    <w:rsid w:val="00AE12E7"/>
    <w:rsid w:val="00AF04C3"/>
    <w:rsid w:val="00B04BE2"/>
    <w:rsid w:val="00B15A91"/>
    <w:rsid w:val="00B17B76"/>
    <w:rsid w:val="00B54ABF"/>
    <w:rsid w:val="00B575D5"/>
    <w:rsid w:val="00B76EFF"/>
    <w:rsid w:val="00B7747E"/>
    <w:rsid w:val="00B778C1"/>
    <w:rsid w:val="00B859C9"/>
    <w:rsid w:val="00BC0B9E"/>
    <w:rsid w:val="00BC21E7"/>
    <w:rsid w:val="00BD4097"/>
    <w:rsid w:val="00BD5DF7"/>
    <w:rsid w:val="00BE20DA"/>
    <w:rsid w:val="00BF241C"/>
    <w:rsid w:val="00C01D7D"/>
    <w:rsid w:val="00C025E6"/>
    <w:rsid w:val="00C026DC"/>
    <w:rsid w:val="00C06E7D"/>
    <w:rsid w:val="00C362A5"/>
    <w:rsid w:val="00C46BAB"/>
    <w:rsid w:val="00C55589"/>
    <w:rsid w:val="00C749F0"/>
    <w:rsid w:val="00C87913"/>
    <w:rsid w:val="00C900FA"/>
    <w:rsid w:val="00CB1683"/>
    <w:rsid w:val="00CB5D0C"/>
    <w:rsid w:val="00CB6404"/>
    <w:rsid w:val="00CC2C58"/>
    <w:rsid w:val="00CD683B"/>
    <w:rsid w:val="00CD725B"/>
    <w:rsid w:val="00CE0410"/>
    <w:rsid w:val="00CE1CA7"/>
    <w:rsid w:val="00CE6F45"/>
    <w:rsid w:val="00CF7939"/>
    <w:rsid w:val="00D006DE"/>
    <w:rsid w:val="00D23CC5"/>
    <w:rsid w:val="00D30979"/>
    <w:rsid w:val="00D55BB2"/>
    <w:rsid w:val="00D56BC6"/>
    <w:rsid w:val="00D61F98"/>
    <w:rsid w:val="00D7296D"/>
    <w:rsid w:val="00D84023"/>
    <w:rsid w:val="00D873A6"/>
    <w:rsid w:val="00DA71D0"/>
    <w:rsid w:val="00DB5449"/>
    <w:rsid w:val="00DC0505"/>
    <w:rsid w:val="00DC506D"/>
    <w:rsid w:val="00DC6356"/>
    <w:rsid w:val="00DD38C8"/>
    <w:rsid w:val="00DD775B"/>
    <w:rsid w:val="00DE02F2"/>
    <w:rsid w:val="00DF1D0D"/>
    <w:rsid w:val="00E14A1A"/>
    <w:rsid w:val="00E16ACD"/>
    <w:rsid w:val="00E263C8"/>
    <w:rsid w:val="00E271A2"/>
    <w:rsid w:val="00E343FF"/>
    <w:rsid w:val="00E4326C"/>
    <w:rsid w:val="00E56A0C"/>
    <w:rsid w:val="00E74C27"/>
    <w:rsid w:val="00E75BA7"/>
    <w:rsid w:val="00E85884"/>
    <w:rsid w:val="00E90310"/>
    <w:rsid w:val="00EB37F9"/>
    <w:rsid w:val="00EB3D63"/>
    <w:rsid w:val="00EE61D2"/>
    <w:rsid w:val="00EF0D31"/>
    <w:rsid w:val="00EF27DD"/>
    <w:rsid w:val="00F02005"/>
    <w:rsid w:val="00F330D1"/>
    <w:rsid w:val="00F54664"/>
    <w:rsid w:val="00F8257D"/>
    <w:rsid w:val="00F875C2"/>
    <w:rsid w:val="00F94698"/>
    <w:rsid w:val="00FA4DD3"/>
    <w:rsid w:val="00FA555C"/>
    <w:rsid w:val="00FA6B2F"/>
    <w:rsid w:val="00FB5EC4"/>
    <w:rsid w:val="00FB7EF8"/>
    <w:rsid w:val="00FC3BA8"/>
    <w:rsid w:val="00FD006B"/>
    <w:rsid w:val="00FD1DE9"/>
    <w:rsid w:val="00FF4F15"/>
    <w:rsid w:val="00FF721C"/>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D6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D1062"/>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2D1062"/>
    <w:rPr>
      <w:rFonts w:eastAsiaTheme="minorEastAsia"/>
      <w:lang w:val="es-ES"/>
    </w:rPr>
  </w:style>
  <w:style w:type="paragraph" w:styleId="Textodeglobo">
    <w:name w:val="Balloon Text"/>
    <w:basedOn w:val="Normal"/>
    <w:link w:val="TextodegloboCar"/>
    <w:uiPriority w:val="99"/>
    <w:semiHidden/>
    <w:unhideWhenUsed/>
    <w:rsid w:val="002D106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D1062"/>
    <w:rPr>
      <w:rFonts w:ascii="Tahoma" w:hAnsi="Tahoma" w:cs="Tahoma"/>
      <w:sz w:val="16"/>
      <w:szCs w:val="16"/>
    </w:rPr>
  </w:style>
  <w:style w:type="paragraph" w:styleId="Prrafodelista">
    <w:name w:val="List Paragraph"/>
    <w:basedOn w:val="Normal"/>
    <w:uiPriority w:val="34"/>
    <w:qFormat/>
    <w:rsid w:val="008D5FCA"/>
    <w:pPr>
      <w:ind w:left="720"/>
      <w:contextualSpacing/>
    </w:pPr>
  </w:style>
  <w:style w:type="character" w:styleId="Hipervnculo">
    <w:name w:val="Hyperlink"/>
    <w:basedOn w:val="Fuentedeprrafopredeter"/>
    <w:uiPriority w:val="99"/>
    <w:unhideWhenUsed/>
    <w:rsid w:val="006A56AE"/>
    <w:rPr>
      <w:color w:val="0000FF" w:themeColor="hyperlink"/>
      <w:u w:val="single"/>
    </w:rPr>
  </w:style>
  <w:style w:type="table" w:styleId="Tablaconcuadrcula">
    <w:name w:val="Table Grid"/>
    <w:basedOn w:val="Tablanormal"/>
    <w:uiPriority w:val="59"/>
    <w:rsid w:val="00F330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61883912">
      <w:bodyDiv w:val="1"/>
      <w:marLeft w:val="0"/>
      <w:marRight w:val="0"/>
      <w:marTop w:val="0"/>
      <w:marBottom w:val="0"/>
      <w:divBdr>
        <w:top w:val="none" w:sz="0" w:space="0" w:color="auto"/>
        <w:left w:val="none" w:sz="0" w:space="0" w:color="auto"/>
        <w:bottom w:val="none" w:sz="0" w:space="0" w:color="auto"/>
        <w:right w:val="none" w:sz="0" w:space="0" w:color="auto"/>
      </w:divBdr>
    </w:div>
    <w:div w:id="1860656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chart" Target="charts/chart2.xml"/><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cid:image001.png@01D17B71.D818A630" TargetMode="External"/><Relationship Id="rId14" Type="http://schemas.openxmlformats.org/officeDocument/2006/relationships/image" Target="media/image5.png"/><Relationship Id="rId22"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ose.Quilaguy\Desktop\Excel\Informe%20interno%20contabl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ose.Quilaguy\Desktop\Excel\Informe%20interno%20contabl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ose.Quilaguy\Desktop\Excel\Informe%20interno%20contabl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ose.Quilaguy\Desktop\Excel\Informe%20interno%20contab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O"/>
  <c:style val="31"/>
  <c:chart>
    <c:title>
      <c:tx>
        <c:rich>
          <a:bodyPr/>
          <a:lstStyle/>
          <a:p>
            <a:pPr>
              <a:defRPr/>
            </a:pPr>
            <a:r>
              <a:rPr lang="en-US"/>
              <a:t>SISTEMA</a:t>
            </a:r>
            <a:r>
              <a:rPr lang="en-US" baseline="0"/>
              <a:t> </a:t>
            </a:r>
            <a:r>
              <a:rPr lang="en-US"/>
              <a:t>DE CONTROL INTERNO</a:t>
            </a:r>
          </a:p>
        </c:rich>
      </c:tx>
    </c:title>
    <c:plotArea>
      <c:layout/>
      <c:barChart>
        <c:barDir val="col"/>
        <c:grouping val="clustered"/>
        <c:ser>
          <c:idx val="0"/>
          <c:order val="0"/>
          <c:tx>
            <c:strRef>
              <c:f>'Control Interno'!$H$4</c:f>
              <c:strCache>
                <c:ptCount val="1"/>
                <c:pt idx="0">
                  <c:v>INDICADOR DE MADUREZ DE MECI</c:v>
                </c:pt>
              </c:strCache>
            </c:strRef>
          </c:tx>
          <c:cat>
            <c:numRef>
              <c:f>'Control Interno'!$B$5:$B$7</c:f>
              <c:numCache>
                <c:formatCode>General</c:formatCode>
                <c:ptCount val="3"/>
                <c:pt idx="0">
                  <c:v>2013</c:v>
                </c:pt>
                <c:pt idx="1">
                  <c:v>2014</c:v>
                </c:pt>
                <c:pt idx="2">
                  <c:v>2015</c:v>
                </c:pt>
              </c:numCache>
            </c:numRef>
          </c:cat>
          <c:val>
            <c:numRef>
              <c:f>'Control Interno'!$H$5:$H$7</c:f>
              <c:numCache>
                <c:formatCode>0.00%</c:formatCode>
                <c:ptCount val="3"/>
                <c:pt idx="0">
                  <c:v>0.44850000000000018</c:v>
                </c:pt>
                <c:pt idx="1">
                  <c:v>0.68600000000000072</c:v>
                </c:pt>
                <c:pt idx="2">
                  <c:v>0.48250000000000032</c:v>
                </c:pt>
              </c:numCache>
            </c:numRef>
          </c:val>
        </c:ser>
        <c:axId val="103885440"/>
        <c:axId val="103985536"/>
      </c:barChart>
      <c:catAx>
        <c:axId val="103885440"/>
        <c:scaling>
          <c:orientation val="minMax"/>
        </c:scaling>
        <c:axPos val="b"/>
        <c:numFmt formatCode="General" sourceLinked="1"/>
        <c:majorTickMark val="none"/>
        <c:tickLblPos val="nextTo"/>
        <c:crossAx val="103985536"/>
        <c:crosses val="autoZero"/>
        <c:auto val="1"/>
        <c:lblAlgn val="ctr"/>
        <c:lblOffset val="100"/>
      </c:catAx>
      <c:valAx>
        <c:axId val="103985536"/>
        <c:scaling>
          <c:orientation val="minMax"/>
        </c:scaling>
        <c:axPos val="l"/>
        <c:majorGridlines/>
        <c:title>
          <c:tx>
            <c:rich>
              <a:bodyPr/>
              <a:lstStyle/>
              <a:p>
                <a:pPr>
                  <a:defRPr/>
                </a:pPr>
                <a:r>
                  <a:rPr lang="es-CO"/>
                  <a:t>INDICADOR DE MADUREZ</a:t>
                </a:r>
              </a:p>
            </c:rich>
          </c:tx>
        </c:title>
        <c:numFmt formatCode="0.00%" sourceLinked="1"/>
        <c:majorTickMark val="none"/>
        <c:tickLblPos val="nextTo"/>
        <c:crossAx val="103885440"/>
        <c:crosses val="autoZero"/>
        <c:crossBetween val="between"/>
      </c:valAx>
      <c:dTable>
        <c:showHorzBorder val="1"/>
        <c:showVertBorder val="1"/>
        <c:showOutline val="1"/>
        <c:showKeys val="1"/>
      </c:dTable>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sz="1400"/>
            </a:pPr>
            <a:r>
              <a:rPr lang="en-US" sz="1400"/>
              <a:t>Estado del Sistema de Control Interno</a:t>
            </a:r>
          </a:p>
        </c:rich>
      </c:tx>
    </c:title>
    <c:plotArea>
      <c:layout/>
      <c:lineChart>
        <c:grouping val="standard"/>
        <c:ser>
          <c:idx val="0"/>
          <c:order val="0"/>
          <c:tx>
            <c:strRef>
              <c:f>'Control Interno'!$B$5</c:f>
              <c:strCache>
                <c:ptCount val="1"/>
                <c:pt idx="0">
                  <c:v>2013</c:v>
                </c:pt>
              </c:strCache>
            </c:strRef>
          </c:tx>
          <c:cat>
            <c:strRef>
              <c:f>'Control Interno'!$C$4:$G$4</c:f>
              <c:strCache>
                <c:ptCount val="5"/>
                <c:pt idx="0">
                  <c:v>Entorno de control</c:v>
                </c:pt>
                <c:pt idx="1">
                  <c:v>Información y comunicación</c:v>
                </c:pt>
                <c:pt idx="2">
                  <c:v>Direccionamiento estrátegico</c:v>
                </c:pt>
                <c:pt idx="3">
                  <c:v>Administración de riesgos</c:v>
                </c:pt>
                <c:pt idx="4">
                  <c:v>Seguimiento</c:v>
                </c:pt>
              </c:strCache>
            </c:strRef>
          </c:cat>
          <c:val>
            <c:numRef>
              <c:f>'Control Interno'!$C$5:$G$5</c:f>
              <c:numCache>
                <c:formatCode>0.00</c:formatCode>
                <c:ptCount val="5"/>
                <c:pt idx="0">
                  <c:v>2.8499999999999988</c:v>
                </c:pt>
                <c:pt idx="1">
                  <c:v>2.2599999999999998</c:v>
                </c:pt>
                <c:pt idx="2">
                  <c:v>3.07</c:v>
                </c:pt>
                <c:pt idx="3">
                  <c:v>2.6</c:v>
                </c:pt>
                <c:pt idx="4">
                  <c:v>3.19</c:v>
                </c:pt>
              </c:numCache>
            </c:numRef>
          </c:val>
        </c:ser>
        <c:ser>
          <c:idx val="1"/>
          <c:order val="1"/>
          <c:tx>
            <c:strRef>
              <c:f>'Control Interno'!$B$6</c:f>
              <c:strCache>
                <c:ptCount val="1"/>
                <c:pt idx="0">
                  <c:v>2014</c:v>
                </c:pt>
              </c:strCache>
            </c:strRef>
          </c:tx>
          <c:cat>
            <c:strRef>
              <c:f>'Control Interno'!$C$4:$G$4</c:f>
              <c:strCache>
                <c:ptCount val="5"/>
                <c:pt idx="0">
                  <c:v>Entorno de control</c:v>
                </c:pt>
                <c:pt idx="1">
                  <c:v>Información y comunicación</c:v>
                </c:pt>
                <c:pt idx="2">
                  <c:v>Direccionamiento estrátegico</c:v>
                </c:pt>
                <c:pt idx="3">
                  <c:v>Administración de riesgos</c:v>
                </c:pt>
                <c:pt idx="4">
                  <c:v>Seguimiento</c:v>
                </c:pt>
              </c:strCache>
            </c:strRef>
          </c:cat>
          <c:val>
            <c:numRef>
              <c:f>'Control Interno'!$C$6:$G$6</c:f>
              <c:numCache>
                <c:formatCode>0.00</c:formatCode>
                <c:ptCount val="5"/>
                <c:pt idx="0">
                  <c:v>3.4299999999999997</c:v>
                </c:pt>
                <c:pt idx="1">
                  <c:v>3.3299999999999987</c:v>
                </c:pt>
                <c:pt idx="2">
                  <c:v>3.69</c:v>
                </c:pt>
                <c:pt idx="3">
                  <c:v>4.6199999999999966</c:v>
                </c:pt>
                <c:pt idx="4">
                  <c:v>3.65</c:v>
                </c:pt>
              </c:numCache>
            </c:numRef>
          </c:val>
        </c:ser>
        <c:ser>
          <c:idx val="2"/>
          <c:order val="2"/>
          <c:tx>
            <c:strRef>
              <c:f>'Control Interno'!$B$7</c:f>
              <c:strCache>
                <c:ptCount val="1"/>
                <c:pt idx="0">
                  <c:v>2015</c:v>
                </c:pt>
              </c:strCache>
            </c:strRef>
          </c:tx>
          <c:cat>
            <c:strRef>
              <c:f>'Control Interno'!$C$4:$G$4</c:f>
              <c:strCache>
                <c:ptCount val="5"/>
                <c:pt idx="0">
                  <c:v>Entorno de control</c:v>
                </c:pt>
                <c:pt idx="1">
                  <c:v>Información y comunicación</c:v>
                </c:pt>
                <c:pt idx="2">
                  <c:v>Direccionamiento estrátegico</c:v>
                </c:pt>
                <c:pt idx="3">
                  <c:v>Administración de riesgos</c:v>
                </c:pt>
                <c:pt idx="4">
                  <c:v>Seguimiento</c:v>
                </c:pt>
              </c:strCache>
            </c:strRef>
          </c:cat>
          <c:val>
            <c:numRef>
              <c:f>'Control Interno'!$C$7:$G$7</c:f>
              <c:numCache>
                <c:formatCode>0.00</c:formatCode>
                <c:ptCount val="5"/>
                <c:pt idx="0">
                  <c:v>2.52</c:v>
                </c:pt>
                <c:pt idx="1">
                  <c:v>3.54</c:v>
                </c:pt>
                <c:pt idx="2">
                  <c:v>2.8299999999999987</c:v>
                </c:pt>
                <c:pt idx="3">
                  <c:v>3.46</c:v>
                </c:pt>
                <c:pt idx="4">
                  <c:v>2.2999999999999998</c:v>
                </c:pt>
              </c:numCache>
            </c:numRef>
          </c:val>
        </c:ser>
        <c:marker val="1"/>
        <c:axId val="106445824"/>
        <c:axId val="106464000"/>
      </c:lineChart>
      <c:catAx>
        <c:axId val="106445824"/>
        <c:scaling>
          <c:orientation val="minMax"/>
        </c:scaling>
        <c:axPos val="b"/>
        <c:numFmt formatCode="General" sourceLinked="1"/>
        <c:majorTickMark val="none"/>
        <c:tickLblPos val="nextTo"/>
        <c:crossAx val="106464000"/>
        <c:crosses val="autoZero"/>
        <c:auto val="1"/>
        <c:lblAlgn val="ctr"/>
        <c:lblOffset val="100"/>
      </c:catAx>
      <c:valAx>
        <c:axId val="106464000"/>
        <c:scaling>
          <c:orientation val="minMax"/>
          <c:min val="2"/>
        </c:scaling>
        <c:axPos val="l"/>
        <c:majorGridlines/>
        <c:title/>
        <c:numFmt formatCode="0.00" sourceLinked="1"/>
        <c:majorTickMark val="none"/>
        <c:tickLblPos val="nextTo"/>
        <c:crossAx val="106445824"/>
        <c:crosses val="autoZero"/>
        <c:crossBetween val="between"/>
      </c:valAx>
      <c:dTable>
        <c:showHorzBorder val="1"/>
        <c:showVertBorder val="1"/>
        <c:showOutline val="1"/>
        <c:showKeys val="1"/>
      </c:dTable>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CO"/>
  <c:style val="31"/>
  <c:chart>
    <c:title>
      <c:tx>
        <c:rich>
          <a:bodyPr/>
          <a:lstStyle/>
          <a:p>
            <a:pPr>
              <a:defRPr sz="1400"/>
            </a:pPr>
            <a:r>
              <a:rPr lang="en-US" sz="1400"/>
              <a:t>CALIFICACIÓN DEL SISTEMA</a:t>
            </a:r>
            <a:r>
              <a:rPr lang="en-US" sz="1400" baseline="0"/>
              <a:t> </a:t>
            </a:r>
            <a:r>
              <a:rPr lang="en-US" sz="1400"/>
              <a:t>DE CONTROL INTERNO CONTABLE</a:t>
            </a:r>
          </a:p>
        </c:rich>
      </c:tx>
    </c:title>
    <c:plotArea>
      <c:layout/>
      <c:barChart>
        <c:barDir val="col"/>
        <c:grouping val="clustered"/>
        <c:ser>
          <c:idx val="1"/>
          <c:order val="0"/>
          <c:tx>
            <c:strRef>
              <c:f>'Control Interno'!$I$27</c:f>
              <c:strCache>
                <c:ptCount val="1"/>
                <c:pt idx="0">
                  <c:v>CALIFICACIÓN DEL SISTEMA</c:v>
                </c:pt>
              </c:strCache>
            </c:strRef>
          </c:tx>
          <c:cat>
            <c:numRef>
              <c:f>'Control Interno'!$B$28:$B$30</c:f>
              <c:numCache>
                <c:formatCode>General</c:formatCode>
                <c:ptCount val="3"/>
                <c:pt idx="0">
                  <c:v>2013</c:v>
                </c:pt>
                <c:pt idx="1">
                  <c:v>2014</c:v>
                </c:pt>
                <c:pt idx="2">
                  <c:v>2015</c:v>
                </c:pt>
              </c:numCache>
            </c:numRef>
          </c:cat>
          <c:val>
            <c:numRef>
              <c:f>'Control Interno'!$I$28:$I$30</c:f>
              <c:numCache>
                <c:formatCode>0.00</c:formatCode>
                <c:ptCount val="3"/>
                <c:pt idx="0">
                  <c:v>3.67</c:v>
                </c:pt>
                <c:pt idx="1">
                  <c:v>4.4700000000000024</c:v>
                </c:pt>
                <c:pt idx="2">
                  <c:v>3.34</c:v>
                </c:pt>
              </c:numCache>
            </c:numRef>
          </c:val>
        </c:ser>
        <c:axId val="105252736"/>
        <c:axId val="105254272"/>
      </c:barChart>
      <c:catAx>
        <c:axId val="105252736"/>
        <c:scaling>
          <c:orientation val="minMax"/>
        </c:scaling>
        <c:axPos val="b"/>
        <c:numFmt formatCode="General" sourceLinked="1"/>
        <c:majorTickMark val="none"/>
        <c:tickLblPos val="nextTo"/>
        <c:crossAx val="105254272"/>
        <c:crosses val="autoZero"/>
        <c:auto val="1"/>
        <c:lblAlgn val="ctr"/>
        <c:lblOffset val="100"/>
      </c:catAx>
      <c:valAx>
        <c:axId val="105254272"/>
        <c:scaling>
          <c:orientation val="minMax"/>
        </c:scaling>
        <c:axPos val="l"/>
        <c:majorGridlines/>
        <c:title>
          <c:tx>
            <c:rich>
              <a:bodyPr/>
              <a:lstStyle/>
              <a:p>
                <a:pPr>
                  <a:defRPr/>
                </a:pPr>
                <a:r>
                  <a:rPr lang="es-CO"/>
                  <a:t>Criterio</a:t>
                </a:r>
              </a:p>
            </c:rich>
          </c:tx>
          <c:layout>
            <c:manualLayout>
              <c:xMode val="edge"/>
              <c:yMode val="edge"/>
              <c:x val="8.6880973066898348E-2"/>
              <c:y val="0.38748612799239118"/>
            </c:manualLayout>
          </c:layout>
        </c:title>
        <c:numFmt formatCode="0.00" sourceLinked="1"/>
        <c:majorTickMark val="none"/>
        <c:tickLblPos val="nextTo"/>
        <c:crossAx val="105252736"/>
        <c:crosses val="autoZero"/>
        <c:crossBetween val="between"/>
      </c:valAx>
      <c:dTable>
        <c:showHorzBorder val="1"/>
        <c:showVertBorder val="1"/>
        <c:showOutline val="1"/>
        <c:showKeys val="1"/>
      </c:dTable>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s-CO"/>
              <a:t>Control</a:t>
            </a:r>
            <a:r>
              <a:rPr lang="es-CO" baseline="0"/>
              <a:t> Interno Contable por Actividad</a:t>
            </a:r>
            <a:endParaRPr lang="es-CO"/>
          </a:p>
        </c:rich>
      </c:tx>
    </c:title>
    <c:plotArea>
      <c:layout/>
      <c:lineChart>
        <c:grouping val="standard"/>
        <c:ser>
          <c:idx val="0"/>
          <c:order val="0"/>
          <c:tx>
            <c:strRef>
              <c:f>'Control Interno'!$B$28</c:f>
              <c:strCache>
                <c:ptCount val="1"/>
                <c:pt idx="0">
                  <c:v>2013</c:v>
                </c:pt>
              </c:strCache>
            </c:strRef>
          </c:tx>
          <c:cat>
            <c:strRef>
              <c:f>'Control Interno'!$C$27:$H$27</c:f>
              <c:strCache>
                <c:ptCount val="6"/>
                <c:pt idx="0">
                  <c:v>IDENTIFICACIÓN</c:v>
                </c:pt>
                <c:pt idx="1">
                  <c:v>CLASIFICACIÓN</c:v>
                </c:pt>
                <c:pt idx="2">
                  <c:v>REGISTRO Y AJUSTES</c:v>
                </c:pt>
                <c:pt idx="3">
                  <c:v>ELABORACIÓN DE ESTADOS CONTABLES Y DEMÁS</c:v>
                </c:pt>
                <c:pt idx="4">
                  <c:v>ANÁLISIS, INTEPRETACIÓN Y COMUNICACIÓN DE LA INFORMACIÓN</c:v>
                </c:pt>
                <c:pt idx="5">
                  <c:v>ACCIONES IMPLEMENTADAS</c:v>
                </c:pt>
              </c:strCache>
            </c:strRef>
          </c:cat>
          <c:val>
            <c:numRef>
              <c:f>'Control Interno'!$C$28:$H$28</c:f>
              <c:numCache>
                <c:formatCode>0.00</c:formatCode>
                <c:ptCount val="6"/>
                <c:pt idx="0">
                  <c:v>4.07</c:v>
                </c:pt>
                <c:pt idx="1">
                  <c:v>3.62</c:v>
                </c:pt>
                <c:pt idx="2">
                  <c:v>3.75</c:v>
                </c:pt>
                <c:pt idx="3">
                  <c:v>4.28</c:v>
                </c:pt>
                <c:pt idx="4">
                  <c:v>3.66</c:v>
                </c:pt>
                <c:pt idx="5">
                  <c:v>3.25</c:v>
                </c:pt>
              </c:numCache>
            </c:numRef>
          </c:val>
        </c:ser>
        <c:ser>
          <c:idx val="1"/>
          <c:order val="1"/>
          <c:tx>
            <c:strRef>
              <c:f>'Control Interno'!$B$29</c:f>
              <c:strCache>
                <c:ptCount val="1"/>
                <c:pt idx="0">
                  <c:v>2014</c:v>
                </c:pt>
              </c:strCache>
            </c:strRef>
          </c:tx>
          <c:cat>
            <c:strRef>
              <c:f>'Control Interno'!$C$27:$H$27</c:f>
              <c:strCache>
                <c:ptCount val="6"/>
                <c:pt idx="0">
                  <c:v>IDENTIFICACIÓN</c:v>
                </c:pt>
                <c:pt idx="1">
                  <c:v>CLASIFICACIÓN</c:v>
                </c:pt>
                <c:pt idx="2">
                  <c:v>REGISTRO Y AJUSTES</c:v>
                </c:pt>
                <c:pt idx="3">
                  <c:v>ELABORACIÓN DE ESTADOS CONTABLES Y DEMÁS</c:v>
                </c:pt>
                <c:pt idx="4">
                  <c:v>ANÁLISIS, INTEPRETACIÓN Y COMUNICACIÓN DE LA INFORMACIÓN</c:v>
                </c:pt>
                <c:pt idx="5">
                  <c:v>ACCIONES IMPLEMENTADAS</c:v>
                </c:pt>
              </c:strCache>
            </c:strRef>
          </c:cat>
          <c:val>
            <c:numRef>
              <c:f>'Control Interno'!$C$29:$H$29</c:f>
              <c:numCache>
                <c:formatCode>0.00</c:formatCode>
                <c:ptCount val="6"/>
                <c:pt idx="0">
                  <c:v>4.38</c:v>
                </c:pt>
                <c:pt idx="1">
                  <c:v>4.1199999999999966</c:v>
                </c:pt>
                <c:pt idx="2">
                  <c:v>4.33</c:v>
                </c:pt>
                <c:pt idx="3">
                  <c:v>4.57</c:v>
                </c:pt>
                <c:pt idx="4">
                  <c:v>4.5</c:v>
                </c:pt>
                <c:pt idx="5">
                  <c:v>4.6199999999999966</c:v>
                </c:pt>
              </c:numCache>
            </c:numRef>
          </c:val>
        </c:ser>
        <c:ser>
          <c:idx val="2"/>
          <c:order val="2"/>
          <c:tx>
            <c:strRef>
              <c:f>'Control Interno'!$B$30</c:f>
              <c:strCache>
                <c:ptCount val="1"/>
                <c:pt idx="0">
                  <c:v>2015</c:v>
                </c:pt>
              </c:strCache>
            </c:strRef>
          </c:tx>
          <c:cat>
            <c:strRef>
              <c:f>'Control Interno'!$C$27:$H$27</c:f>
              <c:strCache>
                <c:ptCount val="6"/>
                <c:pt idx="0">
                  <c:v>IDENTIFICACIÓN</c:v>
                </c:pt>
                <c:pt idx="1">
                  <c:v>CLASIFICACIÓN</c:v>
                </c:pt>
                <c:pt idx="2">
                  <c:v>REGISTRO Y AJUSTES</c:v>
                </c:pt>
                <c:pt idx="3">
                  <c:v>ELABORACIÓN DE ESTADOS CONTABLES Y DEMÁS</c:v>
                </c:pt>
                <c:pt idx="4">
                  <c:v>ANÁLISIS, INTEPRETACIÓN Y COMUNICACIÓN DE LA INFORMACIÓN</c:v>
                </c:pt>
                <c:pt idx="5">
                  <c:v>ACCIONES IMPLEMENTADAS</c:v>
                </c:pt>
              </c:strCache>
            </c:strRef>
          </c:cat>
          <c:val>
            <c:numRef>
              <c:f>'Control Interno'!$C$30:$H$30</c:f>
              <c:numCache>
                <c:formatCode>0.00</c:formatCode>
                <c:ptCount val="6"/>
                <c:pt idx="0">
                  <c:v>3.84</c:v>
                </c:pt>
                <c:pt idx="1">
                  <c:v>3.5</c:v>
                </c:pt>
                <c:pt idx="2">
                  <c:v>3.66</c:v>
                </c:pt>
                <c:pt idx="3">
                  <c:v>4.42</c:v>
                </c:pt>
                <c:pt idx="4">
                  <c:v>3.3299999999999987</c:v>
                </c:pt>
                <c:pt idx="5">
                  <c:v>2.5</c:v>
                </c:pt>
              </c:numCache>
            </c:numRef>
          </c:val>
        </c:ser>
        <c:marker val="1"/>
        <c:axId val="105299328"/>
        <c:axId val="105301120"/>
      </c:lineChart>
      <c:catAx>
        <c:axId val="105299328"/>
        <c:scaling>
          <c:orientation val="minMax"/>
        </c:scaling>
        <c:axPos val="b"/>
        <c:majorTickMark val="none"/>
        <c:tickLblPos val="nextTo"/>
        <c:crossAx val="105301120"/>
        <c:crosses val="autoZero"/>
        <c:auto val="1"/>
        <c:lblAlgn val="ctr"/>
        <c:lblOffset val="100"/>
      </c:catAx>
      <c:valAx>
        <c:axId val="105301120"/>
        <c:scaling>
          <c:orientation val="minMax"/>
          <c:min val="2"/>
        </c:scaling>
        <c:axPos val="l"/>
        <c:majorGridlines/>
        <c:title>
          <c:tx>
            <c:rich>
              <a:bodyPr/>
              <a:lstStyle/>
              <a:p>
                <a:pPr>
                  <a:defRPr/>
                </a:pPr>
                <a:r>
                  <a:rPr lang="en-US"/>
                  <a:t>Criterio</a:t>
                </a:r>
              </a:p>
            </c:rich>
          </c:tx>
        </c:title>
        <c:numFmt formatCode="0.00" sourceLinked="1"/>
        <c:majorTickMark val="none"/>
        <c:tickLblPos val="nextTo"/>
        <c:crossAx val="105299328"/>
        <c:crosses val="autoZero"/>
        <c:crossBetween val="between"/>
      </c:valAx>
      <c:dTable>
        <c:showHorzBorder val="1"/>
        <c:showVertBorder val="1"/>
        <c:showOutline val="1"/>
        <c:showKeys val="1"/>
        <c:txPr>
          <a:bodyPr/>
          <a:lstStyle/>
          <a:p>
            <a:pPr rtl="0">
              <a:defRPr sz="800"/>
            </a:pPr>
            <a:endParaRPr lang="es-CO"/>
          </a:p>
        </c:txPr>
      </c:dTable>
    </c:plotArea>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2016-04-15T00:00:00</PublishDate>
  <Abstract>Marco normativo: Decreto 2145 de 1999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E91BBA-9B14-44D0-87E9-D2D3C2F5D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764</Words>
  <Characters>4207</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INFORME PORMENORIZADO DEL ESTADO DE CONTROL INTERNO</vt:lpstr>
    </vt:vector>
  </TitlesOfParts>
  <Company>Hewlett-Packard Company</Company>
  <LinksUpToDate>false</LinksUpToDate>
  <CharactersWithSpaces>4962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EJECUTIVO ANUAL DE CONTROL INTERNO</dc:title>
  <dc:subject>Período: 01 enero de 2015 al 31 de diciembre de 2015</dc:subject>
  <dc:creator>Elaborado por: José Daniel Quilaguy Bernal - Profesional Especializado con funciones de control interno</dc:creator>
  <cp:lastModifiedBy>Arturo.Salamanca</cp:lastModifiedBy>
  <cp:revision>2</cp:revision>
  <cp:lastPrinted>2016-03-14T19:31:00Z</cp:lastPrinted>
  <dcterms:created xsi:type="dcterms:W3CDTF">2017-03-22T19:58:00Z</dcterms:created>
  <dcterms:modified xsi:type="dcterms:W3CDTF">2017-03-22T19:58:00Z</dcterms:modified>
</cp:coreProperties>
</file>